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057"/>
        <w:gridCol w:w="5028"/>
      </w:tblGrid>
      <w:tr w:rsidR="00D9107D" w:rsidRPr="00D9107D" w14:paraId="68AAE1C9" w14:textId="77777777">
        <w:tc>
          <w:tcPr>
            <w:tcW w:w="4057" w:type="dxa"/>
          </w:tcPr>
          <w:p w14:paraId="4E11FB63" w14:textId="31906C47" w:rsidR="00D9107D" w:rsidRPr="00D9107D" w:rsidRDefault="007B6323" w:rsidP="00553ABC">
            <w:pPr>
              <w:pStyle w:val="BodyText2"/>
              <w:rPr>
                <w:b/>
                <w:sz w:val="24"/>
                <w:szCs w:val="24"/>
              </w:rPr>
            </w:pPr>
            <w:r w:rsidRPr="00BF0C7C">
              <w:rPr>
                <w:b/>
                <w:i/>
                <w:noProof/>
                <w:color w:val="78976D"/>
                <w:sz w:val="24"/>
                <w:szCs w:val="24"/>
              </w:rPr>
              <w:drawing>
                <wp:inline distT="0" distB="0" distL="0" distR="0" wp14:anchorId="5A846672" wp14:editId="10B602A7">
                  <wp:extent cx="1525905" cy="12407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24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8" w:type="dxa"/>
            <w:vAlign w:val="center"/>
          </w:tcPr>
          <w:p w14:paraId="22E5D9B6" w14:textId="300078E1" w:rsidR="00D9107D" w:rsidRPr="0034777A" w:rsidRDefault="009909EF" w:rsidP="00D9107D">
            <w:pPr>
              <w:pStyle w:val="BodyText2"/>
              <w:rPr>
                <w:rFonts w:ascii="Palatino Linotype" w:hAnsi="Palatino Linotype"/>
                <w:b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</w:rPr>
              <w:t>20</w:t>
            </w:r>
            <w:r w:rsidR="009951E1">
              <w:rPr>
                <w:rFonts w:ascii="Palatino Linotype" w:hAnsi="Palatino Linotype"/>
                <w:b/>
                <w:sz w:val="28"/>
                <w:szCs w:val="28"/>
              </w:rPr>
              <w:t>2</w:t>
            </w:r>
            <w:r w:rsidR="001C6EE2">
              <w:rPr>
                <w:rFonts w:ascii="Palatino Linotype" w:hAnsi="Palatino Linotype"/>
                <w:b/>
                <w:sz w:val="28"/>
                <w:szCs w:val="28"/>
              </w:rPr>
              <w:t xml:space="preserve">5 </w:t>
            </w:r>
            <w:r w:rsidR="00972262" w:rsidRPr="0034777A">
              <w:rPr>
                <w:rFonts w:ascii="Palatino Linotype" w:hAnsi="Palatino Linotype"/>
                <w:b/>
                <w:sz w:val="28"/>
                <w:szCs w:val="28"/>
              </w:rPr>
              <w:t xml:space="preserve">Field of Interest </w:t>
            </w:r>
            <w:r w:rsidR="00D9107D" w:rsidRPr="0034777A">
              <w:rPr>
                <w:rFonts w:ascii="Palatino Linotype" w:hAnsi="Palatino Linotype"/>
                <w:b/>
                <w:sz w:val="28"/>
                <w:szCs w:val="28"/>
              </w:rPr>
              <w:t>Fund</w:t>
            </w:r>
            <w:r w:rsidR="00972262" w:rsidRPr="0034777A">
              <w:rPr>
                <w:rFonts w:ascii="Palatino Linotype" w:hAnsi="Palatino Linotype"/>
                <w:b/>
                <w:sz w:val="28"/>
                <w:szCs w:val="28"/>
              </w:rPr>
              <w:t>s</w:t>
            </w:r>
          </w:p>
          <w:p w14:paraId="66DDDF4D" w14:textId="77777777" w:rsidR="00D9107D" w:rsidRPr="0034777A" w:rsidRDefault="00D9107D" w:rsidP="00D9107D">
            <w:pPr>
              <w:pStyle w:val="BodyText2"/>
              <w:rPr>
                <w:rFonts w:ascii="Palatino Linotype" w:hAnsi="Palatino Linotype"/>
                <w:b/>
                <w:sz w:val="28"/>
                <w:szCs w:val="28"/>
              </w:rPr>
            </w:pPr>
            <w:r w:rsidRPr="0034777A">
              <w:rPr>
                <w:rFonts w:ascii="Palatino Linotype" w:hAnsi="Palatino Linotype"/>
                <w:b/>
                <w:sz w:val="28"/>
                <w:szCs w:val="28"/>
              </w:rPr>
              <w:t>Grant Guidelines</w:t>
            </w:r>
            <w:r w:rsidR="00506D4A" w:rsidRPr="0034777A">
              <w:rPr>
                <w:rFonts w:ascii="Palatino Linotype" w:hAnsi="Palatino Linotype"/>
                <w:b/>
                <w:sz w:val="28"/>
                <w:szCs w:val="28"/>
              </w:rPr>
              <w:t xml:space="preserve"> &amp; Instructions</w:t>
            </w:r>
          </w:p>
          <w:p w14:paraId="68CC720C" w14:textId="51406F73" w:rsidR="00B11D6A" w:rsidRDefault="00B11D6A" w:rsidP="00D9107D">
            <w:pPr>
              <w:pStyle w:val="BodyText2"/>
              <w:rPr>
                <w:rFonts w:ascii="Palatino Linotype" w:hAnsi="Palatino Linotype"/>
                <w:b/>
                <w:color w:val="FF0000"/>
                <w:sz w:val="28"/>
                <w:szCs w:val="28"/>
              </w:rPr>
            </w:pPr>
            <w:r w:rsidRPr="0034777A">
              <w:rPr>
                <w:rFonts w:ascii="Palatino Linotype" w:hAnsi="Palatino Linotype"/>
                <w:b/>
                <w:color w:val="FF0000"/>
                <w:sz w:val="28"/>
                <w:szCs w:val="28"/>
              </w:rPr>
              <w:t xml:space="preserve">Deadline: </w:t>
            </w:r>
            <w:r w:rsidR="001C6EE2">
              <w:rPr>
                <w:rFonts w:ascii="Palatino Linotype" w:hAnsi="Palatino Linotype"/>
                <w:b/>
                <w:color w:val="FF0000"/>
                <w:sz w:val="28"/>
                <w:szCs w:val="28"/>
              </w:rPr>
              <w:t>May</w:t>
            </w:r>
            <w:r w:rsidR="007F1304">
              <w:rPr>
                <w:rFonts w:ascii="Palatino Linotype" w:hAnsi="Palatino Linotype"/>
                <w:b/>
                <w:color w:val="FF0000"/>
                <w:sz w:val="28"/>
                <w:szCs w:val="28"/>
              </w:rPr>
              <w:t xml:space="preserve"> 1</w:t>
            </w:r>
            <w:r w:rsidR="009716E0">
              <w:rPr>
                <w:rFonts w:ascii="Palatino Linotype" w:hAnsi="Palatino Linotype"/>
                <w:b/>
                <w:color w:val="FF0000"/>
                <w:sz w:val="28"/>
                <w:szCs w:val="28"/>
              </w:rPr>
              <w:t>5</w:t>
            </w:r>
            <w:r w:rsidR="007F1304">
              <w:rPr>
                <w:rFonts w:ascii="Palatino Linotype" w:hAnsi="Palatino Linotype"/>
                <w:b/>
                <w:color w:val="FF0000"/>
                <w:sz w:val="28"/>
                <w:szCs w:val="28"/>
              </w:rPr>
              <w:t>, 202</w:t>
            </w:r>
            <w:r w:rsidR="001C6EE2">
              <w:rPr>
                <w:rFonts w:ascii="Palatino Linotype" w:hAnsi="Palatino Linotype"/>
                <w:b/>
                <w:color w:val="FF0000"/>
                <w:sz w:val="28"/>
                <w:szCs w:val="28"/>
              </w:rPr>
              <w:t>5</w:t>
            </w:r>
          </w:p>
          <w:p w14:paraId="064037D7" w14:textId="63A4D932" w:rsidR="00D9107D" w:rsidRPr="00385855" w:rsidRDefault="007F1304" w:rsidP="007F1304">
            <w:pPr>
              <w:pStyle w:val="BodyText2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</w:tbl>
    <w:p w14:paraId="7EA4BC13" w14:textId="77777777" w:rsidR="004A753B" w:rsidRPr="004A753B" w:rsidRDefault="004A753B" w:rsidP="00D9107D">
      <w:pPr>
        <w:pStyle w:val="BodyText2"/>
        <w:jc w:val="left"/>
        <w:rPr>
          <w:rFonts w:ascii="Book Antiqua" w:hAnsi="Book Antiqua"/>
          <w:b/>
          <w:sz w:val="24"/>
          <w:szCs w:val="24"/>
          <w:u w:val="single"/>
        </w:rPr>
      </w:pPr>
    </w:p>
    <w:p w14:paraId="10D01FDD" w14:textId="77777777" w:rsidR="004B1485" w:rsidRPr="002F3741" w:rsidRDefault="00BF0C7C" w:rsidP="00D9107D">
      <w:pPr>
        <w:pStyle w:val="BodyText2"/>
        <w:jc w:val="left"/>
        <w:rPr>
          <w:rFonts w:ascii="Palatino Linotype" w:hAnsi="Palatino Linotype"/>
          <w:b/>
          <w:sz w:val="22"/>
          <w:szCs w:val="22"/>
          <w:u w:val="single"/>
        </w:rPr>
      </w:pPr>
      <w:r>
        <w:rPr>
          <w:rFonts w:ascii="Palatino Linotype" w:hAnsi="Palatino Linotype"/>
          <w:b/>
          <w:sz w:val="22"/>
          <w:szCs w:val="22"/>
          <w:u w:val="single"/>
        </w:rPr>
        <w:t>Mission of t</w:t>
      </w:r>
      <w:r w:rsidR="004B1485" w:rsidRPr="002F3741">
        <w:rPr>
          <w:rFonts w:ascii="Palatino Linotype" w:hAnsi="Palatino Linotype"/>
          <w:b/>
          <w:sz w:val="22"/>
          <w:szCs w:val="22"/>
          <w:u w:val="single"/>
        </w:rPr>
        <w:t xml:space="preserve">he </w:t>
      </w:r>
      <w:r>
        <w:rPr>
          <w:rFonts w:ascii="Palatino Linotype" w:hAnsi="Palatino Linotype"/>
          <w:b/>
          <w:sz w:val="22"/>
          <w:szCs w:val="22"/>
          <w:u w:val="single"/>
        </w:rPr>
        <w:t xml:space="preserve">Inland Empire </w:t>
      </w:r>
      <w:r w:rsidR="004B1485" w:rsidRPr="002F3741">
        <w:rPr>
          <w:rFonts w:ascii="Palatino Linotype" w:hAnsi="Palatino Linotype"/>
          <w:b/>
          <w:sz w:val="22"/>
          <w:szCs w:val="22"/>
          <w:u w:val="single"/>
        </w:rPr>
        <w:t xml:space="preserve">Community Foundation  </w:t>
      </w:r>
    </w:p>
    <w:p w14:paraId="1B63179C" w14:textId="6352B7EC" w:rsidR="00994A69" w:rsidRPr="002F3741" w:rsidRDefault="00994A69" w:rsidP="00994A69">
      <w:pPr>
        <w:pStyle w:val="BodyText2"/>
        <w:jc w:val="left"/>
        <w:rPr>
          <w:rFonts w:ascii="Palatino Linotype" w:hAnsi="Palatino Linotype"/>
          <w:bCs/>
          <w:sz w:val="22"/>
          <w:szCs w:val="22"/>
        </w:rPr>
      </w:pPr>
      <w:r w:rsidRPr="002F3741">
        <w:rPr>
          <w:rFonts w:ascii="Palatino Linotype" w:hAnsi="Palatino Linotype"/>
          <w:bCs/>
          <w:sz w:val="22"/>
          <w:szCs w:val="22"/>
        </w:rPr>
        <w:t xml:space="preserve">The mission of </w:t>
      </w:r>
      <w:r w:rsidR="00BF0C7C">
        <w:rPr>
          <w:rFonts w:ascii="Palatino Linotype" w:hAnsi="Palatino Linotype"/>
          <w:bCs/>
          <w:sz w:val="22"/>
          <w:szCs w:val="22"/>
        </w:rPr>
        <w:t>the Inland Empire</w:t>
      </w:r>
      <w:r w:rsidRPr="002F3741">
        <w:rPr>
          <w:rFonts w:ascii="Palatino Linotype" w:hAnsi="Palatino Linotype"/>
          <w:bCs/>
          <w:sz w:val="22"/>
          <w:szCs w:val="22"/>
        </w:rPr>
        <w:t xml:space="preserve"> Community Foundation</w:t>
      </w:r>
      <w:r w:rsidR="001C6EE2">
        <w:rPr>
          <w:rFonts w:ascii="Palatino Linotype" w:hAnsi="Palatino Linotype"/>
          <w:bCs/>
          <w:sz w:val="22"/>
          <w:szCs w:val="22"/>
        </w:rPr>
        <w:t xml:space="preserve"> (IECF)</w:t>
      </w:r>
      <w:r w:rsidRPr="002F3741">
        <w:rPr>
          <w:rFonts w:ascii="Palatino Linotype" w:hAnsi="Palatino Linotype"/>
          <w:bCs/>
          <w:sz w:val="22"/>
          <w:szCs w:val="22"/>
        </w:rPr>
        <w:t xml:space="preserve"> is to enhance the quality of life in the communities we serve.  This is accomplished through building permanent endowments, making prudent grants for charitable causes, being a catalyst to solve community concerns and strengthening nonprofit organizations. </w:t>
      </w:r>
    </w:p>
    <w:p w14:paraId="438D8999" w14:textId="77777777" w:rsidR="004B1485" w:rsidRPr="002F3741" w:rsidRDefault="004B1485" w:rsidP="00D9107D">
      <w:pPr>
        <w:pStyle w:val="BodyText2"/>
        <w:jc w:val="left"/>
        <w:rPr>
          <w:rFonts w:ascii="Palatino Linotype" w:hAnsi="Palatino Linotype"/>
          <w:bCs/>
          <w:sz w:val="22"/>
          <w:szCs w:val="22"/>
        </w:rPr>
      </w:pPr>
    </w:p>
    <w:p w14:paraId="27E488D4" w14:textId="77777777" w:rsidR="004B1485" w:rsidRPr="002F3741" w:rsidRDefault="00994A69" w:rsidP="00D9107D">
      <w:pPr>
        <w:pStyle w:val="BodyText2"/>
        <w:jc w:val="left"/>
        <w:rPr>
          <w:rFonts w:ascii="Palatino Linotype" w:hAnsi="Palatino Linotype"/>
          <w:b/>
          <w:sz w:val="22"/>
          <w:szCs w:val="22"/>
          <w:u w:val="single"/>
        </w:rPr>
      </w:pPr>
      <w:r w:rsidRPr="002F3741">
        <w:rPr>
          <w:rFonts w:ascii="Palatino Linotype" w:hAnsi="Palatino Linotype"/>
          <w:b/>
          <w:sz w:val="22"/>
          <w:szCs w:val="22"/>
          <w:u w:val="single"/>
        </w:rPr>
        <w:t>Eligibility</w:t>
      </w:r>
    </w:p>
    <w:p w14:paraId="0561E31E" w14:textId="77777777" w:rsidR="003029B3" w:rsidRPr="002F3741" w:rsidRDefault="003029B3" w:rsidP="003029B3">
      <w:pPr>
        <w:numPr>
          <w:ilvl w:val="0"/>
          <w:numId w:val="15"/>
        </w:numPr>
        <w:rPr>
          <w:rFonts w:ascii="Palatino Linotype" w:hAnsi="Palatino Linotype"/>
          <w:b/>
          <w:bCs/>
          <w:i/>
          <w:sz w:val="22"/>
          <w:szCs w:val="22"/>
        </w:rPr>
      </w:pPr>
      <w:r w:rsidRPr="002F3741">
        <w:rPr>
          <w:rFonts w:ascii="Palatino Linotype" w:hAnsi="Palatino Linotype"/>
          <w:bCs/>
          <w:sz w:val="22"/>
          <w:szCs w:val="22"/>
        </w:rPr>
        <w:t>Nonprofit, public benefit corporations with evidence of tax-exempt status under Section 501(c)</w:t>
      </w:r>
      <w:r w:rsidR="00FB1511">
        <w:rPr>
          <w:rFonts w:ascii="Palatino Linotype" w:hAnsi="Palatino Linotype"/>
          <w:bCs/>
          <w:sz w:val="22"/>
          <w:szCs w:val="22"/>
        </w:rPr>
        <w:t xml:space="preserve"> </w:t>
      </w:r>
      <w:r w:rsidRPr="002F3741">
        <w:rPr>
          <w:rFonts w:ascii="Palatino Linotype" w:hAnsi="Palatino Linotype"/>
          <w:bCs/>
          <w:sz w:val="22"/>
          <w:szCs w:val="22"/>
        </w:rPr>
        <w:t xml:space="preserve">(3) of the Internal Revenue Code and </w:t>
      </w:r>
      <w:r w:rsidRPr="002F3741">
        <w:rPr>
          <w:rFonts w:ascii="Palatino Linotype" w:hAnsi="Palatino Linotype"/>
          <w:b/>
          <w:bCs/>
          <w:sz w:val="22"/>
          <w:szCs w:val="22"/>
        </w:rPr>
        <w:t xml:space="preserve">not classified as a private foundation.  </w:t>
      </w:r>
      <w:r w:rsidRPr="002F3741">
        <w:rPr>
          <w:rFonts w:ascii="Palatino Linotype" w:hAnsi="Palatino Linotype"/>
          <w:bCs/>
          <w:sz w:val="22"/>
          <w:szCs w:val="22"/>
        </w:rPr>
        <w:t>Public agencies (in limited circumstances) may apply.</w:t>
      </w:r>
    </w:p>
    <w:p w14:paraId="1752AEEC" w14:textId="77777777" w:rsidR="003029B3" w:rsidRPr="002F3741" w:rsidRDefault="003029B3" w:rsidP="003029B3">
      <w:pPr>
        <w:numPr>
          <w:ilvl w:val="0"/>
          <w:numId w:val="15"/>
        </w:numPr>
        <w:rPr>
          <w:rFonts w:ascii="Palatino Linotype" w:hAnsi="Palatino Linotype"/>
          <w:b/>
          <w:bCs/>
          <w:i/>
          <w:sz w:val="22"/>
          <w:szCs w:val="22"/>
        </w:rPr>
      </w:pPr>
      <w:r w:rsidRPr="002F3741">
        <w:rPr>
          <w:rFonts w:ascii="Palatino Linotype" w:hAnsi="Palatino Linotype"/>
          <w:bCs/>
          <w:sz w:val="22"/>
          <w:szCs w:val="22"/>
        </w:rPr>
        <w:t xml:space="preserve">Nonprofit organizations that can document on-going operations in Riverside and/or San Bernardino Counties and have </w:t>
      </w:r>
      <w:r w:rsidRPr="002F3741">
        <w:rPr>
          <w:rFonts w:ascii="Palatino Linotype" w:hAnsi="Palatino Linotype"/>
          <w:b/>
          <w:bCs/>
          <w:sz w:val="22"/>
          <w:szCs w:val="22"/>
        </w:rPr>
        <w:t>nonprofit status per above for at least three years.</w:t>
      </w:r>
    </w:p>
    <w:p w14:paraId="5A0D4FFA" w14:textId="77777777" w:rsidR="001A13AC" w:rsidRPr="002F3741" w:rsidRDefault="004A753B" w:rsidP="00994A69">
      <w:pPr>
        <w:numPr>
          <w:ilvl w:val="0"/>
          <w:numId w:val="15"/>
        </w:numPr>
        <w:rPr>
          <w:rFonts w:ascii="Palatino Linotype" w:hAnsi="Palatino Linotype"/>
          <w:bCs/>
          <w:sz w:val="22"/>
          <w:szCs w:val="22"/>
        </w:rPr>
      </w:pPr>
      <w:r w:rsidRPr="002F3741">
        <w:rPr>
          <w:rFonts w:ascii="Palatino Linotype" w:hAnsi="Palatino Linotype"/>
          <w:bCs/>
          <w:sz w:val="22"/>
          <w:szCs w:val="22"/>
        </w:rPr>
        <w:t>Past grantees must be in good standing, and have fulfilled all previous grant obligations</w:t>
      </w:r>
      <w:r w:rsidR="00C25832" w:rsidRPr="002F3741">
        <w:rPr>
          <w:rFonts w:ascii="Palatino Linotype" w:hAnsi="Palatino Linotype"/>
          <w:bCs/>
          <w:sz w:val="22"/>
          <w:szCs w:val="22"/>
        </w:rPr>
        <w:t>.</w:t>
      </w:r>
    </w:p>
    <w:p w14:paraId="4BC20528" w14:textId="77777777" w:rsidR="004B1485" w:rsidRPr="002F3741" w:rsidRDefault="004B1485" w:rsidP="00D9107D">
      <w:pPr>
        <w:pStyle w:val="BodyText2"/>
        <w:jc w:val="left"/>
        <w:rPr>
          <w:rFonts w:ascii="Palatino Linotype" w:hAnsi="Palatino Linotype"/>
          <w:bCs/>
          <w:sz w:val="22"/>
          <w:szCs w:val="22"/>
        </w:rPr>
      </w:pPr>
    </w:p>
    <w:p w14:paraId="6D4CB97A" w14:textId="77777777" w:rsidR="00972262" w:rsidRPr="002F3741" w:rsidRDefault="00972262" w:rsidP="000E6AC1">
      <w:pPr>
        <w:pStyle w:val="Heading2"/>
        <w:jc w:val="both"/>
        <w:rPr>
          <w:rFonts w:ascii="Palatino Linotype" w:hAnsi="Palatino Linotype"/>
          <w:sz w:val="22"/>
          <w:szCs w:val="22"/>
          <w:u w:val="single"/>
        </w:rPr>
      </w:pPr>
      <w:r w:rsidRPr="002F3741">
        <w:rPr>
          <w:rFonts w:ascii="Palatino Linotype" w:hAnsi="Palatino Linotype"/>
          <w:sz w:val="22"/>
          <w:szCs w:val="22"/>
          <w:u w:val="single"/>
        </w:rPr>
        <w:t>Field of Interest Funds</w:t>
      </w:r>
    </w:p>
    <w:p w14:paraId="33747761" w14:textId="77777777" w:rsidR="000E6AC1" w:rsidRPr="002F3741" w:rsidRDefault="00FB1511" w:rsidP="00972262">
      <w:pPr>
        <w:pStyle w:val="BodyText2"/>
        <w:jc w:val="lef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Field of I</w:t>
      </w:r>
      <w:r w:rsidR="00972262" w:rsidRPr="002F3741">
        <w:rPr>
          <w:rFonts w:ascii="Palatino Linotype" w:hAnsi="Palatino Linotype"/>
          <w:sz w:val="22"/>
          <w:szCs w:val="22"/>
        </w:rPr>
        <w:t>nterest funds are restricted to a specific program area or geographic area. Those restrictions are made by the fund donors. The size of</w:t>
      </w:r>
      <w:r w:rsidR="00972262" w:rsidRPr="002F3741">
        <w:rPr>
          <w:rFonts w:ascii="Palatino Linotype" w:hAnsi="Palatino Linotype"/>
          <w:bCs/>
          <w:sz w:val="22"/>
          <w:szCs w:val="22"/>
        </w:rPr>
        <w:t xml:space="preserve"> the grants var</w:t>
      </w:r>
      <w:r w:rsidR="00B22615" w:rsidRPr="002F3741">
        <w:rPr>
          <w:rFonts w:ascii="Palatino Linotype" w:hAnsi="Palatino Linotype"/>
          <w:bCs/>
          <w:sz w:val="22"/>
          <w:szCs w:val="22"/>
        </w:rPr>
        <w:t xml:space="preserve">ies </w:t>
      </w:r>
      <w:r w:rsidR="00972262" w:rsidRPr="002F3741">
        <w:rPr>
          <w:rFonts w:ascii="Palatino Linotype" w:hAnsi="Palatino Linotype"/>
          <w:bCs/>
          <w:sz w:val="22"/>
          <w:szCs w:val="22"/>
        </w:rPr>
        <w:t>based on the asset size of each fund.</w:t>
      </w:r>
      <w:r w:rsidR="00972262" w:rsidRPr="002F3741">
        <w:rPr>
          <w:rFonts w:ascii="Palatino Linotype" w:hAnsi="Palatino Linotype"/>
          <w:sz w:val="22"/>
          <w:szCs w:val="22"/>
        </w:rPr>
        <w:t xml:space="preserve"> </w:t>
      </w:r>
      <w:r w:rsidR="00B22615" w:rsidRPr="002F3741">
        <w:rPr>
          <w:rFonts w:ascii="Palatino Linotype" w:hAnsi="Palatino Linotype"/>
          <w:sz w:val="22"/>
          <w:szCs w:val="22"/>
        </w:rPr>
        <w:t xml:space="preserve"> </w:t>
      </w:r>
      <w:r w:rsidR="00972262" w:rsidRPr="002F3741">
        <w:rPr>
          <w:rFonts w:ascii="Palatino Linotype" w:hAnsi="Palatino Linotype"/>
          <w:sz w:val="22"/>
          <w:szCs w:val="22"/>
        </w:rPr>
        <w:t xml:space="preserve">When a field of interest fund benefits a specific community, a local advisory committee </w:t>
      </w:r>
      <w:r w:rsidR="000E6AC1" w:rsidRPr="002F3741">
        <w:rPr>
          <w:rFonts w:ascii="Palatino Linotype" w:hAnsi="Palatino Linotype"/>
          <w:sz w:val="22"/>
          <w:szCs w:val="22"/>
        </w:rPr>
        <w:t xml:space="preserve">may be asked to </w:t>
      </w:r>
      <w:r w:rsidR="00972262" w:rsidRPr="002F3741">
        <w:rPr>
          <w:rFonts w:ascii="Palatino Linotype" w:hAnsi="Palatino Linotype"/>
          <w:sz w:val="22"/>
          <w:szCs w:val="22"/>
        </w:rPr>
        <w:t>review</w:t>
      </w:r>
      <w:r w:rsidR="000E6AC1" w:rsidRPr="002F3741">
        <w:rPr>
          <w:rFonts w:ascii="Palatino Linotype" w:hAnsi="Palatino Linotype"/>
          <w:sz w:val="22"/>
          <w:szCs w:val="22"/>
        </w:rPr>
        <w:t xml:space="preserve"> </w:t>
      </w:r>
      <w:r w:rsidR="00972262" w:rsidRPr="002F3741">
        <w:rPr>
          <w:rFonts w:ascii="Palatino Linotype" w:hAnsi="Palatino Linotype"/>
          <w:sz w:val="22"/>
          <w:szCs w:val="22"/>
        </w:rPr>
        <w:t xml:space="preserve">grant proposals and make funding recommendations. </w:t>
      </w:r>
    </w:p>
    <w:p w14:paraId="16149A09" w14:textId="77777777" w:rsidR="000E6AC1" w:rsidRPr="002F3741" w:rsidRDefault="000E6AC1" w:rsidP="00972262">
      <w:pPr>
        <w:pStyle w:val="BodyText2"/>
        <w:jc w:val="left"/>
        <w:rPr>
          <w:rFonts w:ascii="Palatino Linotype" w:hAnsi="Palatino Linotype"/>
          <w:sz w:val="22"/>
          <w:szCs w:val="22"/>
        </w:rPr>
      </w:pPr>
    </w:p>
    <w:p w14:paraId="2F65FDEC" w14:textId="77777777" w:rsidR="00972262" w:rsidRPr="002F3741" w:rsidRDefault="00FB1511" w:rsidP="00972262">
      <w:pPr>
        <w:pStyle w:val="BodyText2"/>
        <w:jc w:val="lef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The current Field of I</w:t>
      </w:r>
      <w:r w:rsidR="00972262" w:rsidRPr="002F3741">
        <w:rPr>
          <w:rFonts w:ascii="Palatino Linotype" w:hAnsi="Palatino Linotype"/>
          <w:sz w:val="22"/>
          <w:szCs w:val="22"/>
        </w:rPr>
        <w:t>nterest funds</w:t>
      </w:r>
      <w:r w:rsidR="004A753B" w:rsidRPr="002F3741">
        <w:rPr>
          <w:rFonts w:ascii="Palatino Linotype" w:hAnsi="Palatino Linotype"/>
          <w:sz w:val="22"/>
          <w:szCs w:val="22"/>
        </w:rPr>
        <w:t xml:space="preserve"> </w:t>
      </w:r>
      <w:r w:rsidR="000E6AC1" w:rsidRPr="002F3741">
        <w:rPr>
          <w:rFonts w:ascii="Palatino Linotype" w:hAnsi="Palatino Linotype"/>
          <w:sz w:val="22"/>
          <w:szCs w:val="22"/>
        </w:rPr>
        <w:t>are:</w:t>
      </w:r>
      <w:r w:rsidR="00972262" w:rsidRPr="002F3741">
        <w:rPr>
          <w:rFonts w:ascii="Palatino Linotype" w:hAnsi="Palatino Linotype"/>
          <w:sz w:val="22"/>
          <w:szCs w:val="22"/>
        </w:rPr>
        <w:t xml:space="preserve"> </w:t>
      </w:r>
    </w:p>
    <w:p w14:paraId="76CB187A" w14:textId="77777777" w:rsidR="000E6AC1" w:rsidRDefault="00826ED9" w:rsidP="00933E8D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rPr>
          <w:rFonts w:ascii="Palatino Linotype" w:hAnsi="Palatino Linotype"/>
          <w:sz w:val="22"/>
          <w:szCs w:val="22"/>
        </w:rPr>
      </w:pPr>
      <w:r w:rsidRPr="002F3741">
        <w:rPr>
          <w:rFonts w:ascii="Palatino Linotype" w:hAnsi="Palatino Linotype"/>
          <w:b/>
          <w:i/>
          <w:sz w:val="22"/>
          <w:szCs w:val="22"/>
        </w:rPr>
        <w:t>Irene S. Rockwell Fund</w:t>
      </w:r>
      <w:r w:rsidRPr="002F3741">
        <w:rPr>
          <w:rFonts w:ascii="Palatino Linotype" w:hAnsi="Palatino Linotype"/>
          <w:sz w:val="22"/>
          <w:szCs w:val="22"/>
        </w:rPr>
        <w:t xml:space="preserve"> - Benefits the residents of the city of Perris.</w:t>
      </w:r>
      <w:r w:rsidR="00933E8D" w:rsidRPr="002F3741">
        <w:rPr>
          <w:rFonts w:ascii="Palatino Linotype" w:hAnsi="Palatino Linotype"/>
          <w:sz w:val="22"/>
          <w:szCs w:val="22"/>
        </w:rPr>
        <w:t xml:space="preserve"> </w:t>
      </w:r>
      <w:r w:rsidR="009716E0">
        <w:rPr>
          <w:rFonts w:ascii="Palatino Linotype" w:hAnsi="Palatino Linotype"/>
          <w:sz w:val="22"/>
          <w:szCs w:val="22"/>
        </w:rPr>
        <w:t>Maximum</w:t>
      </w:r>
      <w:r w:rsidR="00C46E97" w:rsidRPr="002F3741">
        <w:rPr>
          <w:rFonts w:ascii="Palatino Linotype" w:hAnsi="Palatino Linotype"/>
          <w:sz w:val="22"/>
          <w:szCs w:val="22"/>
        </w:rPr>
        <w:t xml:space="preserve"> grant </w:t>
      </w:r>
      <w:r w:rsidR="009716E0">
        <w:rPr>
          <w:rFonts w:ascii="Palatino Linotype" w:hAnsi="Palatino Linotype"/>
          <w:sz w:val="22"/>
          <w:szCs w:val="22"/>
        </w:rPr>
        <w:t xml:space="preserve">per organization </w:t>
      </w:r>
      <w:r w:rsidR="00C46E97" w:rsidRPr="002F3741">
        <w:rPr>
          <w:rFonts w:ascii="Palatino Linotype" w:hAnsi="Palatino Linotype"/>
          <w:sz w:val="22"/>
          <w:szCs w:val="22"/>
        </w:rPr>
        <w:t>is $</w:t>
      </w:r>
      <w:r w:rsidR="009716E0">
        <w:rPr>
          <w:rFonts w:ascii="Palatino Linotype" w:hAnsi="Palatino Linotype"/>
          <w:sz w:val="22"/>
          <w:szCs w:val="22"/>
        </w:rPr>
        <w:t>5</w:t>
      </w:r>
      <w:r w:rsidR="00CA0E73" w:rsidRPr="002F3741">
        <w:rPr>
          <w:rFonts w:ascii="Palatino Linotype" w:hAnsi="Palatino Linotype"/>
          <w:sz w:val="22"/>
          <w:szCs w:val="22"/>
        </w:rPr>
        <w:t>,000</w:t>
      </w:r>
      <w:r w:rsidR="000E6AC1" w:rsidRPr="002F3741">
        <w:rPr>
          <w:rFonts w:ascii="Palatino Linotype" w:hAnsi="Palatino Linotype"/>
          <w:sz w:val="22"/>
          <w:szCs w:val="22"/>
        </w:rPr>
        <w:t>.</w:t>
      </w:r>
    </w:p>
    <w:p w14:paraId="6877070A" w14:textId="77777777" w:rsidR="00826ED9" w:rsidRPr="002F3741" w:rsidRDefault="00826ED9" w:rsidP="00826ED9">
      <w:pPr>
        <w:numPr>
          <w:ilvl w:val="0"/>
          <w:numId w:val="16"/>
        </w:numPr>
        <w:rPr>
          <w:rFonts w:ascii="Palatino Linotype" w:hAnsi="Palatino Linotype"/>
          <w:sz w:val="22"/>
          <w:szCs w:val="22"/>
        </w:rPr>
      </w:pPr>
      <w:r w:rsidRPr="002F3741">
        <w:rPr>
          <w:rFonts w:ascii="Palatino Linotype" w:hAnsi="Palatino Linotype"/>
          <w:b/>
          <w:i/>
          <w:sz w:val="22"/>
          <w:szCs w:val="22"/>
        </w:rPr>
        <w:t>Seraphim Fund</w:t>
      </w:r>
      <w:r w:rsidRPr="002F3741">
        <w:rPr>
          <w:rFonts w:ascii="Palatino Linotype" w:hAnsi="Palatino Linotype"/>
          <w:sz w:val="22"/>
          <w:szCs w:val="22"/>
        </w:rPr>
        <w:t xml:space="preserve"> - Aids women and children, including the economically disadvantage</w:t>
      </w:r>
      <w:r w:rsidR="00B22615" w:rsidRPr="002F3741">
        <w:rPr>
          <w:rFonts w:ascii="Palatino Linotype" w:hAnsi="Palatino Linotype"/>
          <w:sz w:val="22"/>
          <w:szCs w:val="22"/>
        </w:rPr>
        <w:t>d</w:t>
      </w:r>
      <w:r w:rsidRPr="002F3741">
        <w:rPr>
          <w:rFonts w:ascii="Palatino Linotype" w:hAnsi="Palatino Linotype"/>
          <w:sz w:val="22"/>
          <w:szCs w:val="22"/>
        </w:rPr>
        <w:t>, victims of domestic abuse, and those suffering from physical or mental illness or substance abuse.</w:t>
      </w:r>
      <w:r w:rsidR="00A84421" w:rsidRPr="002F3741">
        <w:rPr>
          <w:rFonts w:ascii="Palatino Linotype" w:hAnsi="Palatino Linotype"/>
          <w:sz w:val="22"/>
          <w:szCs w:val="22"/>
        </w:rPr>
        <w:t xml:space="preserve"> </w:t>
      </w:r>
      <w:r w:rsidR="009716E0">
        <w:rPr>
          <w:rFonts w:ascii="Palatino Linotype" w:hAnsi="Palatino Linotype"/>
          <w:sz w:val="22"/>
          <w:szCs w:val="22"/>
        </w:rPr>
        <w:t>Maximum</w:t>
      </w:r>
      <w:r w:rsidR="00C46E97" w:rsidRPr="002F3741">
        <w:rPr>
          <w:rFonts w:ascii="Palatino Linotype" w:hAnsi="Palatino Linotype"/>
          <w:sz w:val="22"/>
          <w:szCs w:val="22"/>
        </w:rPr>
        <w:t xml:space="preserve"> grant</w:t>
      </w:r>
      <w:r w:rsidR="009716E0">
        <w:rPr>
          <w:rFonts w:ascii="Palatino Linotype" w:hAnsi="Palatino Linotype"/>
          <w:sz w:val="22"/>
          <w:szCs w:val="22"/>
        </w:rPr>
        <w:t xml:space="preserve"> per organization</w:t>
      </w:r>
      <w:r w:rsidR="00C46E97" w:rsidRPr="002F3741">
        <w:rPr>
          <w:rFonts w:ascii="Palatino Linotype" w:hAnsi="Palatino Linotype"/>
          <w:sz w:val="22"/>
          <w:szCs w:val="22"/>
        </w:rPr>
        <w:t xml:space="preserve"> is $10,000</w:t>
      </w:r>
    </w:p>
    <w:p w14:paraId="3955FB40" w14:textId="77777777" w:rsidR="004B1485" w:rsidRPr="002F3741" w:rsidRDefault="00826ED9" w:rsidP="00B827D1">
      <w:pPr>
        <w:numPr>
          <w:ilvl w:val="0"/>
          <w:numId w:val="16"/>
        </w:numPr>
        <w:rPr>
          <w:rFonts w:ascii="Palatino Linotype" w:hAnsi="Palatino Linotype"/>
          <w:sz w:val="22"/>
          <w:szCs w:val="22"/>
        </w:rPr>
      </w:pPr>
      <w:r w:rsidRPr="002F3741">
        <w:rPr>
          <w:rFonts w:ascii="Palatino Linotype" w:hAnsi="Palatino Linotype"/>
          <w:b/>
          <w:i/>
          <w:sz w:val="22"/>
          <w:szCs w:val="22"/>
        </w:rPr>
        <w:t xml:space="preserve">Fred and Eva V. </w:t>
      </w:r>
      <w:proofErr w:type="spellStart"/>
      <w:r w:rsidRPr="002F3741">
        <w:rPr>
          <w:rFonts w:ascii="Palatino Linotype" w:hAnsi="Palatino Linotype"/>
          <w:b/>
          <w:i/>
          <w:sz w:val="22"/>
          <w:szCs w:val="22"/>
        </w:rPr>
        <w:t>Stebler</w:t>
      </w:r>
      <w:proofErr w:type="spellEnd"/>
      <w:r w:rsidRPr="002F3741">
        <w:rPr>
          <w:rFonts w:ascii="Palatino Linotype" w:hAnsi="Palatino Linotype"/>
          <w:b/>
          <w:i/>
          <w:sz w:val="22"/>
          <w:szCs w:val="22"/>
        </w:rPr>
        <w:t xml:space="preserve"> Fund </w:t>
      </w:r>
      <w:r w:rsidRPr="002F3741">
        <w:rPr>
          <w:rFonts w:ascii="Palatino Linotype" w:hAnsi="Palatino Linotype"/>
          <w:sz w:val="22"/>
          <w:szCs w:val="22"/>
        </w:rPr>
        <w:t>- Provides funds for the treatment and care of indigent children in Riverside County, with a strong emphasis on children with special needs.</w:t>
      </w:r>
      <w:r w:rsidR="004A753B" w:rsidRPr="002F3741">
        <w:rPr>
          <w:rFonts w:ascii="Palatino Linotype" w:hAnsi="Palatino Linotype"/>
          <w:sz w:val="22"/>
          <w:szCs w:val="22"/>
        </w:rPr>
        <w:t xml:space="preserve">  </w:t>
      </w:r>
      <w:r w:rsidR="009716E0">
        <w:rPr>
          <w:rFonts w:ascii="Palatino Linotype" w:hAnsi="Palatino Linotype"/>
          <w:sz w:val="22"/>
          <w:szCs w:val="22"/>
        </w:rPr>
        <w:t>Maximum</w:t>
      </w:r>
      <w:r w:rsidR="00C46E97" w:rsidRPr="002F3741">
        <w:rPr>
          <w:rFonts w:ascii="Palatino Linotype" w:hAnsi="Palatino Linotype"/>
          <w:sz w:val="22"/>
          <w:szCs w:val="22"/>
        </w:rPr>
        <w:t xml:space="preserve"> grant </w:t>
      </w:r>
      <w:r w:rsidR="009716E0">
        <w:rPr>
          <w:rFonts w:ascii="Palatino Linotype" w:hAnsi="Palatino Linotype"/>
          <w:sz w:val="22"/>
          <w:szCs w:val="22"/>
        </w:rPr>
        <w:t>per organization is</w:t>
      </w:r>
      <w:r w:rsidR="00C46E97" w:rsidRPr="002F3741">
        <w:rPr>
          <w:rFonts w:ascii="Palatino Linotype" w:hAnsi="Palatino Linotype"/>
          <w:sz w:val="22"/>
          <w:szCs w:val="22"/>
        </w:rPr>
        <w:t xml:space="preserve"> $10,000.</w:t>
      </w:r>
    </w:p>
    <w:p w14:paraId="3294A051" w14:textId="77777777" w:rsidR="004A753B" w:rsidRPr="002F3741" w:rsidRDefault="004A753B" w:rsidP="004A753B">
      <w:pPr>
        <w:numPr>
          <w:ilvl w:val="0"/>
          <w:numId w:val="16"/>
        </w:numPr>
        <w:rPr>
          <w:rFonts w:ascii="Palatino Linotype" w:hAnsi="Palatino Linotype"/>
          <w:sz w:val="22"/>
          <w:szCs w:val="22"/>
        </w:rPr>
      </w:pPr>
      <w:r w:rsidRPr="002F3741">
        <w:rPr>
          <w:rFonts w:ascii="Palatino Linotype" w:hAnsi="Palatino Linotype"/>
          <w:b/>
          <w:i/>
          <w:sz w:val="22"/>
          <w:szCs w:val="22"/>
        </w:rPr>
        <w:t xml:space="preserve">James Bernard and Mildred Jordan Tucker Fund </w:t>
      </w:r>
      <w:r w:rsidR="00AD4BC0">
        <w:rPr>
          <w:rFonts w:ascii="Palatino Linotype" w:hAnsi="Palatino Linotype"/>
          <w:sz w:val="22"/>
          <w:szCs w:val="22"/>
        </w:rPr>
        <w:t xml:space="preserve">- Benefits wheelchair users </w:t>
      </w:r>
      <w:r w:rsidRPr="002F3741">
        <w:rPr>
          <w:rFonts w:ascii="Palatino Linotype" w:hAnsi="Palatino Linotype"/>
          <w:sz w:val="22"/>
          <w:szCs w:val="22"/>
        </w:rPr>
        <w:t>(ADA comp</w:t>
      </w:r>
      <w:r w:rsidR="00AD4BC0">
        <w:rPr>
          <w:rFonts w:ascii="Palatino Linotype" w:hAnsi="Palatino Linotype"/>
          <w:sz w:val="22"/>
          <w:szCs w:val="22"/>
        </w:rPr>
        <w:t xml:space="preserve">liance projects are eligible). </w:t>
      </w:r>
      <w:r w:rsidR="009716E0">
        <w:rPr>
          <w:rFonts w:ascii="Palatino Linotype" w:hAnsi="Palatino Linotype"/>
          <w:sz w:val="22"/>
          <w:szCs w:val="22"/>
        </w:rPr>
        <w:t xml:space="preserve">Maximum grant per organization </w:t>
      </w:r>
      <w:r w:rsidR="00B52D9A" w:rsidRPr="002F3741">
        <w:rPr>
          <w:rFonts w:ascii="Palatino Linotype" w:hAnsi="Palatino Linotype"/>
          <w:sz w:val="22"/>
          <w:szCs w:val="22"/>
        </w:rPr>
        <w:t>is $10,000</w:t>
      </w:r>
      <w:r w:rsidRPr="002F3741">
        <w:rPr>
          <w:rFonts w:ascii="Palatino Linotype" w:hAnsi="Palatino Linotype"/>
          <w:sz w:val="22"/>
          <w:szCs w:val="22"/>
        </w:rPr>
        <w:t>.</w:t>
      </w:r>
    </w:p>
    <w:p w14:paraId="0AD703A5" w14:textId="77777777" w:rsidR="00145D32" w:rsidRPr="002F3741" w:rsidRDefault="00145D32" w:rsidP="009E6D70">
      <w:pPr>
        <w:pStyle w:val="BodyText2"/>
        <w:jc w:val="left"/>
        <w:rPr>
          <w:rFonts w:ascii="Palatino Linotype" w:hAnsi="Palatino Linotype"/>
          <w:b/>
          <w:sz w:val="22"/>
          <w:szCs w:val="22"/>
          <w:u w:val="single"/>
        </w:rPr>
      </w:pPr>
    </w:p>
    <w:p w14:paraId="75B3779A" w14:textId="77777777" w:rsidR="004B1485" w:rsidRPr="002F3741" w:rsidRDefault="004B1485" w:rsidP="009E6D70">
      <w:pPr>
        <w:pStyle w:val="BodyText2"/>
        <w:jc w:val="left"/>
        <w:rPr>
          <w:rFonts w:ascii="Palatino Linotype" w:hAnsi="Palatino Linotype"/>
          <w:b/>
          <w:sz w:val="22"/>
          <w:szCs w:val="22"/>
          <w:u w:val="single"/>
        </w:rPr>
      </w:pPr>
      <w:r w:rsidRPr="002F3741">
        <w:rPr>
          <w:rFonts w:ascii="Palatino Linotype" w:hAnsi="Palatino Linotype"/>
          <w:b/>
          <w:sz w:val="22"/>
          <w:szCs w:val="22"/>
          <w:u w:val="single"/>
        </w:rPr>
        <w:t>Grant making Objectives</w:t>
      </w:r>
      <w:r w:rsidR="009E6D70" w:rsidRPr="002F3741">
        <w:rPr>
          <w:rFonts w:ascii="Palatino Linotype" w:hAnsi="Palatino Linotype"/>
          <w:b/>
          <w:sz w:val="22"/>
          <w:szCs w:val="22"/>
          <w:u w:val="single"/>
        </w:rPr>
        <w:t xml:space="preserve"> </w:t>
      </w:r>
    </w:p>
    <w:p w14:paraId="010044A9" w14:textId="77777777" w:rsidR="004B1485" w:rsidRPr="002F3741" w:rsidRDefault="004B1485" w:rsidP="009E6D70">
      <w:pPr>
        <w:pStyle w:val="BodyText2"/>
        <w:numPr>
          <w:ilvl w:val="0"/>
          <w:numId w:val="10"/>
        </w:numPr>
        <w:jc w:val="left"/>
        <w:rPr>
          <w:rFonts w:ascii="Palatino Linotype" w:hAnsi="Palatino Linotype"/>
          <w:bCs/>
          <w:sz w:val="22"/>
          <w:szCs w:val="22"/>
        </w:rPr>
      </w:pPr>
      <w:r w:rsidRPr="002F3741">
        <w:rPr>
          <w:rFonts w:ascii="Palatino Linotype" w:hAnsi="Palatino Linotype"/>
          <w:bCs/>
          <w:sz w:val="22"/>
          <w:szCs w:val="22"/>
        </w:rPr>
        <w:t>Maximize resources and efficiency through collaboration</w:t>
      </w:r>
    </w:p>
    <w:p w14:paraId="0256C8A9" w14:textId="77777777" w:rsidR="004B1485" w:rsidRPr="002F3741" w:rsidRDefault="004B1485" w:rsidP="009E6D70">
      <w:pPr>
        <w:pStyle w:val="BodyText2"/>
        <w:numPr>
          <w:ilvl w:val="0"/>
          <w:numId w:val="10"/>
        </w:numPr>
        <w:jc w:val="left"/>
        <w:rPr>
          <w:rFonts w:ascii="Palatino Linotype" w:hAnsi="Palatino Linotype"/>
          <w:bCs/>
          <w:sz w:val="22"/>
          <w:szCs w:val="22"/>
        </w:rPr>
      </w:pPr>
      <w:r w:rsidRPr="002F3741">
        <w:rPr>
          <w:rFonts w:ascii="Palatino Linotype" w:hAnsi="Palatino Linotype"/>
          <w:bCs/>
          <w:sz w:val="22"/>
          <w:szCs w:val="22"/>
        </w:rPr>
        <w:t>Promote values of personal responsibility and self-sufficiency</w:t>
      </w:r>
    </w:p>
    <w:p w14:paraId="565CB6E3" w14:textId="77777777" w:rsidR="004B1485" w:rsidRPr="002F3741" w:rsidRDefault="004B1485" w:rsidP="009E6D70">
      <w:pPr>
        <w:pStyle w:val="BodyText2"/>
        <w:numPr>
          <w:ilvl w:val="0"/>
          <w:numId w:val="10"/>
        </w:numPr>
        <w:jc w:val="left"/>
        <w:rPr>
          <w:rFonts w:ascii="Palatino Linotype" w:hAnsi="Palatino Linotype"/>
          <w:bCs/>
          <w:sz w:val="22"/>
          <w:szCs w:val="22"/>
        </w:rPr>
      </w:pPr>
      <w:r w:rsidRPr="002F3741">
        <w:rPr>
          <w:rFonts w:ascii="Palatino Linotype" w:hAnsi="Palatino Linotype"/>
          <w:bCs/>
          <w:sz w:val="22"/>
          <w:szCs w:val="22"/>
        </w:rPr>
        <w:t>Increase community involvement and volunteerism</w:t>
      </w:r>
    </w:p>
    <w:p w14:paraId="3DE11058" w14:textId="77777777" w:rsidR="004B1485" w:rsidRPr="002F3741" w:rsidRDefault="004B1485" w:rsidP="009E6D70">
      <w:pPr>
        <w:pStyle w:val="BodyText2"/>
        <w:numPr>
          <w:ilvl w:val="0"/>
          <w:numId w:val="10"/>
        </w:numPr>
        <w:jc w:val="left"/>
        <w:rPr>
          <w:rFonts w:ascii="Palatino Linotype" w:hAnsi="Palatino Linotype"/>
          <w:bCs/>
          <w:sz w:val="22"/>
          <w:szCs w:val="22"/>
        </w:rPr>
      </w:pPr>
      <w:r w:rsidRPr="002F3741">
        <w:rPr>
          <w:rFonts w:ascii="Palatino Linotype" w:hAnsi="Palatino Linotype"/>
          <w:bCs/>
          <w:sz w:val="22"/>
          <w:szCs w:val="22"/>
        </w:rPr>
        <w:t>Support early intervention and prevention of social problems</w:t>
      </w:r>
    </w:p>
    <w:p w14:paraId="7E3CE472" w14:textId="77777777" w:rsidR="00B827D1" w:rsidRPr="002F3741" w:rsidRDefault="00B827D1" w:rsidP="009E6D70">
      <w:pPr>
        <w:pStyle w:val="Heading2"/>
        <w:jc w:val="both"/>
        <w:rPr>
          <w:rFonts w:ascii="Palatino Linotype" w:hAnsi="Palatino Linotype"/>
          <w:bCs/>
          <w:sz w:val="22"/>
          <w:szCs w:val="22"/>
          <w:u w:val="single"/>
        </w:rPr>
      </w:pPr>
    </w:p>
    <w:p w14:paraId="0114D983" w14:textId="77777777" w:rsidR="00506D4A" w:rsidRPr="002F3741" w:rsidRDefault="00506D4A" w:rsidP="00506D4A">
      <w:pPr>
        <w:pStyle w:val="Heading2"/>
        <w:jc w:val="both"/>
        <w:rPr>
          <w:rFonts w:ascii="Palatino Linotype" w:hAnsi="Palatino Linotype"/>
          <w:i/>
          <w:sz w:val="22"/>
          <w:szCs w:val="22"/>
          <w:u w:val="single"/>
        </w:rPr>
      </w:pPr>
      <w:r w:rsidRPr="002F3741">
        <w:rPr>
          <w:rFonts w:ascii="Palatino Linotype" w:hAnsi="Palatino Linotype"/>
          <w:i/>
          <w:sz w:val="22"/>
          <w:szCs w:val="22"/>
          <w:u w:val="single"/>
        </w:rPr>
        <w:t>Funding Priorities</w:t>
      </w:r>
    </w:p>
    <w:p w14:paraId="17E91FE1" w14:textId="77777777" w:rsidR="00506D4A" w:rsidRDefault="00506D4A" w:rsidP="00506D4A">
      <w:pPr>
        <w:rPr>
          <w:rFonts w:ascii="Palatino Linotype" w:hAnsi="Palatino Linotype"/>
          <w:sz w:val="22"/>
          <w:szCs w:val="22"/>
        </w:rPr>
      </w:pPr>
      <w:r w:rsidRPr="002F3741">
        <w:rPr>
          <w:rFonts w:ascii="Palatino Linotype" w:hAnsi="Palatino Linotype"/>
          <w:sz w:val="22"/>
          <w:szCs w:val="22"/>
        </w:rPr>
        <w:t>Organizations that:</w:t>
      </w:r>
    </w:p>
    <w:p w14:paraId="6578B16F" w14:textId="77777777" w:rsidR="009951E1" w:rsidRPr="00A800C9" w:rsidRDefault="009951E1" w:rsidP="00CA74EA">
      <w:pPr>
        <w:numPr>
          <w:ilvl w:val="0"/>
          <w:numId w:val="24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lastRenderedPageBreak/>
        <w:t>Have its m</w:t>
      </w:r>
      <w:r w:rsidRPr="00A800C9">
        <w:rPr>
          <w:rFonts w:ascii="Palatino Linotype" w:hAnsi="Palatino Linotype"/>
          <w:sz w:val="22"/>
          <w:szCs w:val="22"/>
        </w:rPr>
        <w:t xml:space="preserve">ission, goals and programming address the critical needs of individuals and communities most impacted by racial, </w:t>
      </w:r>
      <w:r>
        <w:rPr>
          <w:rFonts w:ascii="Palatino Linotype" w:hAnsi="Palatino Linotype"/>
          <w:sz w:val="22"/>
          <w:szCs w:val="22"/>
        </w:rPr>
        <w:t>gender</w:t>
      </w:r>
      <w:r w:rsidRPr="00A800C9">
        <w:rPr>
          <w:rFonts w:ascii="Palatino Linotype" w:hAnsi="Palatino Linotype"/>
          <w:sz w:val="22"/>
          <w:szCs w:val="22"/>
        </w:rPr>
        <w:t xml:space="preserve"> and economic inequity due to their race, income level, gender, religion, immigration status, disability, age, sexual orientation or zip code;</w:t>
      </w:r>
    </w:p>
    <w:p w14:paraId="623BEB97" w14:textId="77777777" w:rsidR="009951E1" w:rsidRPr="002F3741" w:rsidRDefault="009951E1" w:rsidP="00CA74EA">
      <w:pPr>
        <w:numPr>
          <w:ilvl w:val="0"/>
          <w:numId w:val="24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Provide pr</w:t>
      </w:r>
      <w:r w:rsidRPr="00A800C9">
        <w:rPr>
          <w:rFonts w:ascii="Palatino Linotype" w:hAnsi="Palatino Linotype"/>
          <w:sz w:val="22"/>
          <w:szCs w:val="22"/>
        </w:rPr>
        <w:t xml:space="preserve">ograms, services and core activities </w:t>
      </w:r>
      <w:r>
        <w:rPr>
          <w:rFonts w:ascii="Palatino Linotype" w:hAnsi="Palatino Linotype"/>
          <w:sz w:val="22"/>
          <w:szCs w:val="22"/>
        </w:rPr>
        <w:t xml:space="preserve">that </w:t>
      </w:r>
      <w:r w:rsidRPr="00A800C9">
        <w:rPr>
          <w:rFonts w:ascii="Palatino Linotype" w:hAnsi="Palatino Linotype"/>
          <w:sz w:val="22"/>
          <w:szCs w:val="22"/>
        </w:rPr>
        <w:t>are culturally and linguistically responsive to the needs of those served;</w:t>
      </w:r>
    </w:p>
    <w:p w14:paraId="2FC9F68B" w14:textId="77777777" w:rsidR="00506D4A" w:rsidRPr="002F3741" w:rsidRDefault="00506D4A" w:rsidP="00CA74EA">
      <w:pPr>
        <w:numPr>
          <w:ilvl w:val="0"/>
          <w:numId w:val="24"/>
        </w:numPr>
        <w:rPr>
          <w:rFonts w:ascii="Palatino Linotype" w:hAnsi="Palatino Linotype"/>
          <w:bCs/>
          <w:sz w:val="22"/>
          <w:szCs w:val="22"/>
        </w:rPr>
      </w:pPr>
      <w:r w:rsidRPr="002F3741">
        <w:rPr>
          <w:rFonts w:ascii="Palatino Linotype" w:hAnsi="Palatino Linotype"/>
          <w:sz w:val="22"/>
          <w:szCs w:val="22"/>
        </w:rPr>
        <w:t xml:space="preserve">Demonstrate strong, community-based boards and sound financial practices. </w:t>
      </w:r>
    </w:p>
    <w:p w14:paraId="7204018B" w14:textId="77777777" w:rsidR="00506D4A" w:rsidRPr="002F3741" w:rsidRDefault="00506D4A" w:rsidP="00CA74EA">
      <w:pPr>
        <w:numPr>
          <w:ilvl w:val="0"/>
          <w:numId w:val="24"/>
        </w:numPr>
        <w:rPr>
          <w:rFonts w:ascii="Palatino Linotype" w:hAnsi="Palatino Linotype"/>
          <w:sz w:val="22"/>
          <w:szCs w:val="22"/>
        </w:rPr>
      </w:pPr>
      <w:r w:rsidRPr="002F3741">
        <w:rPr>
          <w:rFonts w:ascii="Palatino Linotype" w:hAnsi="Palatino Linotype"/>
          <w:sz w:val="22"/>
          <w:szCs w:val="22"/>
        </w:rPr>
        <w:t>Collaborate or partner with other non-profit entities resulting in greater community impact and positive outcomes that improve, enhance, and enrich the quality</w:t>
      </w:r>
      <w:r w:rsidR="00CA0E73" w:rsidRPr="002F3741">
        <w:rPr>
          <w:rFonts w:ascii="Palatino Linotype" w:hAnsi="Palatino Linotype"/>
          <w:sz w:val="22"/>
          <w:szCs w:val="22"/>
        </w:rPr>
        <w:t xml:space="preserve"> of life in t</w:t>
      </w:r>
      <w:r w:rsidR="004A753B" w:rsidRPr="002F3741">
        <w:rPr>
          <w:rFonts w:ascii="Palatino Linotype" w:hAnsi="Palatino Linotype"/>
          <w:sz w:val="22"/>
          <w:szCs w:val="22"/>
        </w:rPr>
        <w:t>he two-county area, as appropriate.</w:t>
      </w:r>
    </w:p>
    <w:p w14:paraId="1EBC238A" w14:textId="77777777" w:rsidR="00933E8D" w:rsidRPr="002F3741" w:rsidRDefault="00933E8D" w:rsidP="00506D4A">
      <w:pPr>
        <w:pStyle w:val="BodyText2"/>
        <w:jc w:val="left"/>
        <w:rPr>
          <w:rFonts w:ascii="Palatino Linotype" w:hAnsi="Palatino Linotype"/>
          <w:bCs/>
          <w:sz w:val="22"/>
          <w:szCs w:val="22"/>
        </w:rPr>
      </w:pPr>
    </w:p>
    <w:p w14:paraId="32AC2A4B" w14:textId="77777777" w:rsidR="00506D4A" w:rsidRPr="002F3741" w:rsidRDefault="00506D4A" w:rsidP="00506D4A">
      <w:pPr>
        <w:pStyle w:val="BodyText2"/>
        <w:jc w:val="left"/>
        <w:rPr>
          <w:rFonts w:ascii="Palatino Linotype" w:hAnsi="Palatino Linotype"/>
          <w:bCs/>
          <w:sz w:val="22"/>
          <w:szCs w:val="22"/>
        </w:rPr>
      </w:pPr>
      <w:r w:rsidRPr="002F3741">
        <w:rPr>
          <w:rFonts w:ascii="Palatino Linotype" w:hAnsi="Palatino Linotype"/>
          <w:bCs/>
          <w:sz w:val="22"/>
          <w:szCs w:val="22"/>
        </w:rPr>
        <w:t xml:space="preserve">Preference is given to </w:t>
      </w:r>
      <w:r w:rsidRPr="002F3741">
        <w:rPr>
          <w:rFonts w:ascii="Palatino Linotype" w:hAnsi="Palatino Linotype"/>
          <w:sz w:val="22"/>
          <w:szCs w:val="22"/>
        </w:rPr>
        <w:t>projects that</w:t>
      </w:r>
      <w:r w:rsidRPr="002F3741">
        <w:rPr>
          <w:rFonts w:ascii="Palatino Linotype" w:hAnsi="Palatino Linotype"/>
          <w:bCs/>
          <w:sz w:val="22"/>
          <w:szCs w:val="22"/>
        </w:rPr>
        <w:t>:</w:t>
      </w:r>
    </w:p>
    <w:p w14:paraId="11DF4BD3" w14:textId="77777777" w:rsidR="00506D4A" w:rsidRPr="002F3741" w:rsidRDefault="00506D4A" w:rsidP="00506D4A">
      <w:pPr>
        <w:pStyle w:val="BodyText2"/>
        <w:numPr>
          <w:ilvl w:val="0"/>
          <w:numId w:val="7"/>
        </w:numPr>
        <w:jc w:val="left"/>
        <w:rPr>
          <w:rFonts w:ascii="Palatino Linotype" w:hAnsi="Palatino Linotype"/>
          <w:bCs/>
          <w:sz w:val="22"/>
          <w:szCs w:val="22"/>
        </w:rPr>
      </w:pPr>
      <w:r w:rsidRPr="002F3741">
        <w:rPr>
          <w:rFonts w:ascii="Palatino Linotype" w:hAnsi="Palatino Linotype"/>
          <w:sz w:val="22"/>
          <w:szCs w:val="22"/>
        </w:rPr>
        <w:t xml:space="preserve">are perceived as a high need in the community being served. </w:t>
      </w:r>
    </w:p>
    <w:p w14:paraId="3E6CA98E" w14:textId="77777777" w:rsidR="00506D4A" w:rsidRPr="002F3741" w:rsidRDefault="00506D4A" w:rsidP="00506D4A">
      <w:pPr>
        <w:pStyle w:val="BodyText2"/>
        <w:numPr>
          <w:ilvl w:val="0"/>
          <w:numId w:val="7"/>
        </w:numPr>
        <w:jc w:val="left"/>
        <w:rPr>
          <w:rFonts w:ascii="Palatino Linotype" w:hAnsi="Palatino Linotype"/>
          <w:bCs/>
          <w:sz w:val="22"/>
          <w:szCs w:val="22"/>
        </w:rPr>
      </w:pPr>
      <w:r w:rsidRPr="002F3741">
        <w:rPr>
          <w:rFonts w:ascii="Palatino Linotype" w:hAnsi="Palatino Linotype"/>
          <w:bCs/>
          <w:sz w:val="22"/>
          <w:szCs w:val="22"/>
        </w:rPr>
        <w:t>fill a gap in service.</w:t>
      </w:r>
    </w:p>
    <w:p w14:paraId="69B1867F" w14:textId="77777777" w:rsidR="00506D4A" w:rsidRPr="002F3741" w:rsidRDefault="00506D4A" w:rsidP="00506D4A">
      <w:pPr>
        <w:numPr>
          <w:ilvl w:val="0"/>
          <w:numId w:val="7"/>
        </w:numPr>
        <w:rPr>
          <w:rFonts w:ascii="Palatino Linotype" w:hAnsi="Palatino Linotype"/>
          <w:sz w:val="22"/>
          <w:szCs w:val="22"/>
        </w:rPr>
      </w:pPr>
      <w:r w:rsidRPr="002F3741">
        <w:rPr>
          <w:rFonts w:ascii="Palatino Linotype" w:hAnsi="Palatino Linotype"/>
          <w:sz w:val="22"/>
          <w:szCs w:val="22"/>
        </w:rPr>
        <w:t>benefit a large number of residents.</w:t>
      </w:r>
    </w:p>
    <w:p w14:paraId="5A81B524" w14:textId="77777777" w:rsidR="00506D4A" w:rsidRPr="002F3741" w:rsidRDefault="00506D4A" w:rsidP="00506D4A">
      <w:pPr>
        <w:pStyle w:val="BodyText2"/>
        <w:numPr>
          <w:ilvl w:val="0"/>
          <w:numId w:val="7"/>
        </w:numPr>
        <w:jc w:val="left"/>
        <w:rPr>
          <w:rFonts w:ascii="Palatino Linotype" w:hAnsi="Palatino Linotype"/>
          <w:bCs/>
          <w:sz w:val="22"/>
          <w:szCs w:val="22"/>
        </w:rPr>
      </w:pPr>
      <w:r w:rsidRPr="002F3741">
        <w:rPr>
          <w:rFonts w:ascii="Palatino Linotype" w:hAnsi="Palatino Linotype"/>
          <w:bCs/>
          <w:sz w:val="22"/>
          <w:szCs w:val="22"/>
        </w:rPr>
        <w:t>enhance collaboration and/or make the delivery of services more effective and efficient.</w:t>
      </w:r>
    </w:p>
    <w:p w14:paraId="3D0EFB59" w14:textId="77777777" w:rsidR="00506D4A" w:rsidRPr="002F3741" w:rsidRDefault="00506D4A" w:rsidP="00506D4A">
      <w:pPr>
        <w:pStyle w:val="BodyText2"/>
        <w:numPr>
          <w:ilvl w:val="0"/>
          <w:numId w:val="7"/>
        </w:numPr>
        <w:jc w:val="left"/>
        <w:rPr>
          <w:rFonts w:ascii="Palatino Linotype" w:hAnsi="Palatino Linotype"/>
          <w:bCs/>
          <w:sz w:val="22"/>
          <w:szCs w:val="22"/>
        </w:rPr>
      </w:pPr>
      <w:r w:rsidRPr="002F3741">
        <w:rPr>
          <w:rFonts w:ascii="Palatino Linotype" w:hAnsi="Palatino Linotype"/>
          <w:sz w:val="22"/>
          <w:szCs w:val="22"/>
        </w:rPr>
        <w:t xml:space="preserve">have clear objectives and can document successful outcomes. </w:t>
      </w:r>
    </w:p>
    <w:p w14:paraId="02CD53F0" w14:textId="77777777" w:rsidR="00267293" w:rsidRPr="002F3741" w:rsidRDefault="00506D4A" w:rsidP="00506D4A">
      <w:pPr>
        <w:pStyle w:val="BodyText2"/>
        <w:numPr>
          <w:ilvl w:val="0"/>
          <w:numId w:val="7"/>
        </w:numPr>
        <w:jc w:val="left"/>
        <w:rPr>
          <w:rFonts w:ascii="Palatino Linotype" w:hAnsi="Palatino Linotype"/>
          <w:bCs/>
          <w:sz w:val="22"/>
          <w:szCs w:val="22"/>
        </w:rPr>
      </w:pPr>
      <w:r w:rsidRPr="002F3741">
        <w:rPr>
          <w:rFonts w:ascii="Palatino Linotype" w:hAnsi="Palatino Linotype"/>
          <w:sz w:val="22"/>
          <w:szCs w:val="22"/>
        </w:rPr>
        <w:t xml:space="preserve">expand successful programs to serve additional residents </w:t>
      </w:r>
      <w:r w:rsidR="00267293" w:rsidRPr="002F3741">
        <w:rPr>
          <w:rFonts w:ascii="Palatino Linotype" w:hAnsi="Palatino Linotype"/>
          <w:sz w:val="22"/>
          <w:szCs w:val="22"/>
        </w:rPr>
        <w:t>or new geographic areas</w:t>
      </w:r>
    </w:p>
    <w:p w14:paraId="1A19C00F" w14:textId="77777777" w:rsidR="00506D4A" w:rsidRPr="002F3741" w:rsidRDefault="00506D4A" w:rsidP="00506D4A">
      <w:pPr>
        <w:pStyle w:val="BodyText2"/>
        <w:numPr>
          <w:ilvl w:val="0"/>
          <w:numId w:val="7"/>
        </w:numPr>
        <w:jc w:val="left"/>
        <w:rPr>
          <w:rFonts w:ascii="Palatino Linotype" w:hAnsi="Palatino Linotype"/>
          <w:bCs/>
          <w:sz w:val="22"/>
          <w:szCs w:val="22"/>
        </w:rPr>
      </w:pPr>
      <w:r w:rsidRPr="002F3741">
        <w:rPr>
          <w:rFonts w:ascii="Palatino Linotype" w:hAnsi="Palatino Linotype"/>
          <w:sz w:val="22"/>
          <w:szCs w:val="22"/>
        </w:rPr>
        <w:t xml:space="preserve">serve remote areas </w:t>
      </w:r>
      <w:r w:rsidRPr="002F3741">
        <w:rPr>
          <w:rFonts w:ascii="Palatino Linotype" w:hAnsi="Palatino Linotype"/>
          <w:sz w:val="22"/>
          <w:szCs w:val="22"/>
          <w:u w:val="single"/>
        </w:rPr>
        <w:t>or</w:t>
      </w:r>
      <w:r w:rsidRPr="002F3741">
        <w:rPr>
          <w:rFonts w:ascii="Palatino Linotype" w:hAnsi="Palatino Linotype"/>
          <w:sz w:val="22"/>
          <w:szCs w:val="22"/>
        </w:rPr>
        <w:t xml:space="preserve"> areas that have received little Community Foundation funding.</w:t>
      </w:r>
    </w:p>
    <w:p w14:paraId="68E9B6D2" w14:textId="77777777" w:rsidR="004B1485" w:rsidRPr="002F3741" w:rsidRDefault="004B1485" w:rsidP="009E6D70">
      <w:pPr>
        <w:jc w:val="both"/>
        <w:rPr>
          <w:rFonts w:ascii="Palatino Linotype" w:hAnsi="Palatino Linotype"/>
          <w:sz w:val="22"/>
          <w:szCs w:val="22"/>
        </w:rPr>
      </w:pPr>
    </w:p>
    <w:p w14:paraId="6917900C" w14:textId="77777777" w:rsidR="00506D4A" w:rsidRPr="002F3741" w:rsidRDefault="00506D4A" w:rsidP="00506D4A">
      <w:pPr>
        <w:jc w:val="both"/>
        <w:rPr>
          <w:rFonts w:ascii="Palatino Linotype" w:hAnsi="Palatino Linotype"/>
          <w:b/>
          <w:i/>
          <w:sz w:val="22"/>
          <w:szCs w:val="22"/>
          <w:u w:val="single"/>
        </w:rPr>
      </w:pPr>
      <w:r w:rsidRPr="002F3741">
        <w:rPr>
          <w:rFonts w:ascii="Palatino Linotype" w:hAnsi="Palatino Linotype"/>
          <w:b/>
          <w:i/>
          <w:sz w:val="22"/>
          <w:szCs w:val="22"/>
          <w:u w:val="single"/>
        </w:rPr>
        <w:t>Grant Period</w:t>
      </w:r>
    </w:p>
    <w:p w14:paraId="47FDFC91" w14:textId="055780B9" w:rsidR="00506D4A" w:rsidRPr="002F3741" w:rsidRDefault="00506D4A" w:rsidP="00506D4A">
      <w:pPr>
        <w:jc w:val="both"/>
        <w:rPr>
          <w:rFonts w:ascii="Palatino Linotype" w:hAnsi="Palatino Linotype"/>
          <w:sz w:val="22"/>
          <w:szCs w:val="22"/>
        </w:rPr>
      </w:pPr>
      <w:r w:rsidRPr="002F3741">
        <w:rPr>
          <w:rFonts w:ascii="Palatino Linotype" w:hAnsi="Palatino Linotype"/>
          <w:sz w:val="22"/>
          <w:szCs w:val="22"/>
        </w:rPr>
        <w:t xml:space="preserve">The grant period is for </w:t>
      </w:r>
      <w:r w:rsidR="001C6EE2">
        <w:rPr>
          <w:rFonts w:ascii="Palatino Linotype" w:hAnsi="Palatino Linotype"/>
          <w:sz w:val="22"/>
          <w:szCs w:val="22"/>
        </w:rPr>
        <w:t>9 months</w:t>
      </w:r>
      <w:r w:rsidR="00A457F2">
        <w:rPr>
          <w:rFonts w:ascii="Palatino Linotype" w:hAnsi="Palatino Linotype"/>
          <w:sz w:val="22"/>
          <w:szCs w:val="22"/>
        </w:rPr>
        <w:t xml:space="preserve">, starting </w:t>
      </w:r>
      <w:r w:rsidR="001C6EE2">
        <w:rPr>
          <w:rFonts w:ascii="Palatino Linotype" w:hAnsi="Palatino Linotype"/>
          <w:b/>
          <w:color w:val="FF0000"/>
          <w:sz w:val="22"/>
          <w:szCs w:val="22"/>
        </w:rPr>
        <w:t>August 1, 2025</w:t>
      </w:r>
      <w:r w:rsidR="007F1304">
        <w:rPr>
          <w:rFonts w:ascii="Palatino Linotype" w:hAnsi="Palatino Linotype"/>
          <w:b/>
          <w:color w:val="FF0000"/>
          <w:sz w:val="22"/>
          <w:szCs w:val="22"/>
        </w:rPr>
        <w:t xml:space="preserve"> to </w:t>
      </w:r>
      <w:r w:rsidR="001C6EE2">
        <w:rPr>
          <w:rFonts w:ascii="Palatino Linotype" w:hAnsi="Palatino Linotype"/>
          <w:b/>
          <w:color w:val="FF0000"/>
          <w:sz w:val="22"/>
          <w:szCs w:val="22"/>
        </w:rPr>
        <w:t>May 1, 2026</w:t>
      </w:r>
      <w:r w:rsidRPr="002F3741">
        <w:rPr>
          <w:rFonts w:ascii="Palatino Linotype" w:hAnsi="Palatino Linotype"/>
          <w:sz w:val="22"/>
          <w:szCs w:val="22"/>
        </w:rPr>
        <w:t>.</w:t>
      </w:r>
    </w:p>
    <w:p w14:paraId="75CF2934" w14:textId="77777777" w:rsidR="00506D4A" w:rsidRPr="002F3741" w:rsidRDefault="00506D4A" w:rsidP="00506D4A">
      <w:pPr>
        <w:jc w:val="both"/>
        <w:rPr>
          <w:rFonts w:ascii="Palatino Linotype" w:hAnsi="Palatino Linotype"/>
          <w:sz w:val="22"/>
          <w:szCs w:val="22"/>
        </w:rPr>
      </w:pPr>
    </w:p>
    <w:p w14:paraId="276CAAA0" w14:textId="77777777" w:rsidR="00506D4A" w:rsidRPr="002F3741" w:rsidRDefault="00506D4A" w:rsidP="00506D4A">
      <w:pPr>
        <w:jc w:val="both"/>
        <w:rPr>
          <w:rFonts w:ascii="Palatino Linotype" w:hAnsi="Palatino Linotype"/>
          <w:b/>
          <w:i/>
          <w:sz w:val="22"/>
          <w:szCs w:val="22"/>
          <w:u w:val="single"/>
        </w:rPr>
      </w:pPr>
      <w:r w:rsidRPr="002F3741">
        <w:rPr>
          <w:rFonts w:ascii="Palatino Linotype" w:hAnsi="Palatino Linotype"/>
          <w:b/>
          <w:i/>
          <w:sz w:val="22"/>
          <w:szCs w:val="22"/>
          <w:u w:val="single"/>
        </w:rPr>
        <w:t>Limitations</w:t>
      </w:r>
    </w:p>
    <w:p w14:paraId="0EDA83FC" w14:textId="77777777" w:rsidR="00506D4A" w:rsidRPr="002F3741" w:rsidRDefault="00506D4A" w:rsidP="00506D4A">
      <w:pPr>
        <w:jc w:val="both"/>
        <w:rPr>
          <w:rFonts w:ascii="Palatino Linotype" w:hAnsi="Palatino Linotype"/>
          <w:sz w:val="22"/>
          <w:szCs w:val="22"/>
        </w:rPr>
      </w:pPr>
      <w:r w:rsidRPr="002F3741">
        <w:rPr>
          <w:rFonts w:ascii="Palatino Linotype" w:hAnsi="Palatino Linotype"/>
          <w:sz w:val="22"/>
          <w:szCs w:val="22"/>
        </w:rPr>
        <w:t xml:space="preserve">These types of expenses are not eligible for funding: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67"/>
        <w:gridCol w:w="4693"/>
      </w:tblGrid>
      <w:tr w:rsidR="00506D4A" w:rsidRPr="002F3741" w14:paraId="7CA4F0D5" w14:textId="77777777" w:rsidTr="002D2596">
        <w:tc>
          <w:tcPr>
            <w:tcW w:w="5220" w:type="dxa"/>
            <w:shd w:val="clear" w:color="auto" w:fill="auto"/>
          </w:tcPr>
          <w:p w14:paraId="70061570" w14:textId="77777777" w:rsidR="00506D4A" w:rsidRPr="002F3741" w:rsidRDefault="00506D4A" w:rsidP="002D2596">
            <w:pPr>
              <w:numPr>
                <w:ilvl w:val="0"/>
                <w:numId w:val="8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2F3741">
              <w:rPr>
                <w:rFonts w:ascii="Palatino Linotype" w:hAnsi="Palatino Linotype"/>
                <w:sz w:val="22"/>
                <w:szCs w:val="22"/>
              </w:rPr>
              <w:t>on-going operating expenses</w:t>
            </w:r>
          </w:p>
        </w:tc>
        <w:tc>
          <w:tcPr>
            <w:tcW w:w="5220" w:type="dxa"/>
            <w:shd w:val="clear" w:color="auto" w:fill="auto"/>
          </w:tcPr>
          <w:p w14:paraId="3471610D" w14:textId="77777777" w:rsidR="00506D4A" w:rsidRPr="002F3741" w:rsidRDefault="00506D4A" w:rsidP="002D2596">
            <w:pPr>
              <w:numPr>
                <w:ilvl w:val="0"/>
                <w:numId w:val="8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2F3741">
              <w:rPr>
                <w:rFonts w:ascii="Palatino Linotype" w:hAnsi="Palatino Linotype"/>
                <w:sz w:val="22"/>
                <w:szCs w:val="22"/>
              </w:rPr>
              <w:t>paying off deficits or existing obligations</w:t>
            </w:r>
          </w:p>
        </w:tc>
      </w:tr>
      <w:tr w:rsidR="00506D4A" w:rsidRPr="002F3741" w14:paraId="162F8881" w14:textId="77777777" w:rsidTr="002D2596">
        <w:tc>
          <w:tcPr>
            <w:tcW w:w="5220" w:type="dxa"/>
            <w:shd w:val="clear" w:color="auto" w:fill="auto"/>
          </w:tcPr>
          <w:p w14:paraId="5EB815A9" w14:textId="77777777" w:rsidR="00506D4A" w:rsidRPr="002F3741" w:rsidRDefault="00506D4A" w:rsidP="002D2596">
            <w:pPr>
              <w:numPr>
                <w:ilvl w:val="0"/>
                <w:numId w:val="8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2F3741">
              <w:rPr>
                <w:rFonts w:ascii="Palatino Linotype" w:hAnsi="Palatino Linotype"/>
                <w:sz w:val="22"/>
                <w:szCs w:val="22"/>
              </w:rPr>
              <w:t>retroactive funding for cost</w:t>
            </w:r>
            <w:r w:rsidR="00267293" w:rsidRPr="002F3741">
              <w:rPr>
                <w:rFonts w:ascii="Palatino Linotype" w:hAnsi="Palatino Linotype"/>
                <w:sz w:val="22"/>
                <w:szCs w:val="22"/>
              </w:rPr>
              <w:t>s</w:t>
            </w:r>
            <w:r w:rsidRPr="002F3741">
              <w:rPr>
                <w:rFonts w:ascii="Palatino Linotype" w:hAnsi="Palatino Linotype"/>
                <w:sz w:val="22"/>
                <w:szCs w:val="22"/>
              </w:rPr>
              <w:t xml:space="preserve"> already incurred</w:t>
            </w:r>
          </w:p>
        </w:tc>
        <w:tc>
          <w:tcPr>
            <w:tcW w:w="5220" w:type="dxa"/>
            <w:shd w:val="clear" w:color="auto" w:fill="auto"/>
          </w:tcPr>
          <w:p w14:paraId="5723DF04" w14:textId="77777777" w:rsidR="00506D4A" w:rsidRPr="002F3741" w:rsidRDefault="00506D4A" w:rsidP="002D2596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2F3741">
              <w:rPr>
                <w:rFonts w:ascii="Palatino Linotype" w:hAnsi="Palatino Linotype"/>
                <w:sz w:val="22"/>
                <w:szCs w:val="22"/>
              </w:rPr>
              <w:t>endowment, capital or annual fund appeals</w:t>
            </w:r>
          </w:p>
        </w:tc>
      </w:tr>
      <w:tr w:rsidR="00506D4A" w:rsidRPr="002F3741" w14:paraId="7EC64455" w14:textId="77777777" w:rsidTr="002D2596">
        <w:tc>
          <w:tcPr>
            <w:tcW w:w="5220" w:type="dxa"/>
            <w:shd w:val="clear" w:color="auto" w:fill="auto"/>
          </w:tcPr>
          <w:p w14:paraId="38946D7E" w14:textId="77777777" w:rsidR="00506D4A" w:rsidRPr="002F3741" w:rsidRDefault="00506D4A" w:rsidP="002D2596">
            <w:pPr>
              <w:numPr>
                <w:ilvl w:val="0"/>
                <w:numId w:val="8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2F3741">
              <w:rPr>
                <w:rFonts w:ascii="Palatino Linotype" w:hAnsi="Palatino Linotype"/>
                <w:sz w:val="22"/>
                <w:szCs w:val="22"/>
              </w:rPr>
              <w:t xml:space="preserve">capital projects (construction </w:t>
            </w:r>
            <w:proofErr w:type="gramStart"/>
            <w:r w:rsidRPr="002F3741">
              <w:rPr>
                <w:rFonts w:ascii="Palatino Linotype" w:hAnsi="Palatino Linotype"/>
                <w:sz w:val="22"/>
                <w:szCs w:val="22"/>
              </w:rPr>
              <w:t>of  buildings</w:t>
            </w:r>
            <w:proofErr w:type="gramEnd"/>
            <w:r w:rsidRPr="002F3741">
              <w:rPr>
                <w:rFonts w:ascii="Palatino Linotype" w:hAnsi="Palatino Linotype"/>
                <w:sz w:val="22"/>
                <w:szCs w:val="22"/>
              </w:rPr>
              <w:t>)</w:t>
            </w:r>
          </w:p>
        </w:tc>
        <w:tc>
          <w:tcPr>
            <w:tcW w:w="5220" w:type="dxa"/>
            <w:shd w:val="clear" w:color="auto" w:fill="auto"/>
          </w:tcPr>
          <w:p w14:paraId="31395031" w14:textId="77777777" w:rsidR="00506D4A" w:rsidRPr="002F3741" w:rsidRDefault="00506D4A" w:rsidP="002D2596">
            <w:pPr>
              <w:numPr>
                <w:ilvl w:val="0"/>
                <w:numId w:val="8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2F3741">
              <w:rPr>
                <w:rFonts w:ascii="Palatino Linotype" w:hAnsi="Palatino Linotype"/>
                <w:sz w:val="22"/>
                <w:szCs w:val="22"/>
              </w:rPr>
              <w:t>sectarian programs or fraternal organizations</w:t>
            </w:r>
          </w:p>
        </w:tc>
      </w:tr>
      <w:tr w:rsidR="00506D4A" w:rsidRPr="002F3741" w14:paraId="7441AAD7" w14:textId="77777777" w:rsidTr="002D2596">
        <w:tc>
          <w:tcPr>
            <w:tcW w:w="5220" w:type="dxa"/>
            <w:shd w:val="clear" w:color="auto" w:fill="auto"/>
          </w:tcPr>
          <w:p w14:paraId="17387D99" w14:textId="77777777" w:rsidR="00506D4A" w:rsidRPr="002F3741" w:rsidRDefault="00506D4A" w:rsidP="002D2596">
            <w:pPr>
              <w:numPr>
                <w:ilvl w:val="0"/>
                <w:numId w:val="8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2F3741">
              <w:rPr>
                <w:rFonts w:ascii="Palatino Linotype" w:hAnsi="Palatino Linotype"/>
                <w:sz w:val="22"/>
                <w:szCs w:val="22"/>
              </w:rPr>
              <w:t>direct support of individuals</w:t>
            </w:r>
          </w:p>
        </w:tc>
        <w:tc>
          <w:tcPr>
            <w:tcW w:w="5220" w:type="dxa"/>
            <w:shd w:val="clear" w:color="auto" w:fill="auto"/>
          </w:tcPr>
          <w:p w14:paraId="6D370EDA" w14:textId="77777777" w:rsidR="00506D4A" w:rsidRPr="002F3741" w:rsidRDefault="00506D4A" w:rsidP="002D2596">
            <w:pPr>
              <w:numPr>
                <w:ilvl w:val="0"/>
                <w:numId w:val="8"/>
              </w:numPr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  <w:r w:rsidRPr="002F3741">
              <w:rPr>
                <w:rFonts w:ascii="Palatino Linotype" w:hAnsi="Palatino Linotype"/>
                <w:sz w:val="22"/>
                <w:szCs w:val="22"/>
              </w:rPr>
              <w:t>school/college-based extracurricular activities</w:t>
            </w:r>
          </w:p>
        </w:tc>
      </w:tr>
      <w:tr w:rsidR="00506D4A" w:rsidRPr="002F3741" w14:paraId="25751937" w14:textId="77777777" w:rsidTr="002D2596">
        <w:tc>
          <w:tcPr>
            <w:tcW w:w="5220" w:type="dxa"/>
            <w:shd w:val="clear" w:color="auto" w:fill="auto"/>
          </w:tcPr>
          <w:p w14:paraId="1643FECE" w14:textId="77777777" w:rsidR="00506D4A" w:rsidRPr="002F3741" w:rsidRDefault="00506D4A" w:rsidP="002D2596">
            <w:pPr>
              <w:numPr>
                <w:ilvl w:val="0"/>
                <w:numId w:val="8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2F3741">
              <w:rPr>
                <w:rFonts w:ascii="Palatino Linotype" w:hAnsi="Palatino Linotype"/>
                <w:sz w:val="22"/>
                <w:szCs w:val="22"/>
              </w:rPr>
              <w:t>research or development activities</w:t>
            </w:r>
          </w:p>
        </w:tc>
        <w:tc>
          <w:tcPr>
            <w:tcW w:w="5220" w:type="dxa"/>
            <w:shd w:val="clear" w:color="auto" w:fill="auto"/>
          </w:tcPr>
          <w:p w14:paraId="4992F2B0" w14:textId="77777777" w:rsidR="00506D4A" w:rsidRPr="002F3741" w:rsidRDefault="00506D4A" w:rsidP="002D2596">
            <w:pPr>
              <w:numPr>
                <w:ilvl w:val="0"/>
                <w:numId w:val="8"/>
              </w:numPr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  <w:r w:rsidRPr="002F3741">
              <w:rPr>
                <w:rFonts w:ascii="Palatino Linotype" w:hAnsi="Palatino Linotype"/>
                <w:sz w:val="22"/>
                <w:szCs w:val="22"/>
              </w:rPr>
              <w:t>partisan activities</w:t>
            </w:r>
          </w:p>
        </w:tc>
      </w:tr>
      <w:tr w:rsidR="00506D4A" w:rsidRPr="002F3741" w14:paraId="156739E6" w14:textId="77777777" w:rsidTr="002D2596">
        <w:tc>
          <w:tcPr>
            <w:tcW w:w="5220" w:type="dxa"/>
            <w:shd w:val="clear" w:color="auto" w:fill="auto"/>
          </w:tcPr>
          <w:p w14:paraId="18550D34" w14:textId="77777777" w:rsidR="00506D4A" w:rsidRPr="002F3741" w:rsidRDefault="00506D4A" w:rsidP="002D2596">
            <w:pPr>
              <w:numPr>
                <w:ilvl w:val="0"/>
                <w:numId w:val="8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2F3741">
              <w:rPr>
                <w:rFonts w:ascii="Palatino Linotype" w:hAnsi="Palatino Linotype"/>
                <w:sz w:val="22"/>
                <w:szCs w:val="22"/>
              </w:rPr>
              <w:t>event sponsorships</w:t>
            </w:r>
          </w:p>
        </w:tc>
        <w:tc>
          <w:tcPr>
            <w:tcW w:w="5220" w:type="dxa"/>
            <w:shd w:val="clear" w:color="auto" w:fill="auto"/>
          </w:tcPr>
          <w:p w14:paraId="11E83C8A" w14:textId="77777777" w:rsidR="00506D4A" w:rsidRPr="002F3741" w:rsidRDefault="00506D4A" w:rsidP="002D2596">
            <w:pPr>
              <w:numPr>
                <w:ilvl w:val="0"/>
                <w:numId w:val="8"/>
              </w:numPr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  <w:r w:rsidRPr="002F3741">
              <w:rPr>
                <w:rFonts w:ascii="Palatino Linotype" w:hAnsi="Palatino Linotype"/>
                <w:sz w:val="22"/>
                <w:szCs w:val="22"/>
              </w:rPr>
              <w:t>re-granting purposes</w:t>
            </w:r>
          </w:p>
        </w:tc>
      </w:tr>
    </w:tbl>
    <w:p w14:paraId="3424F623" w14:textId="77777777" w:rsidR="00506D4A" w:rsidRPr="002F3741" w:rsidRDefault="00506D4A" w:rsidP="00506D4A">
      <w:pPr>
        <w:jc w:val="both"/>
        <w:rPr>
          <w:rFonts w:ascii="Palatino Linotype" w:hAnsi="Palatino Linotype"/>
          <w:sz w:val="22"/>
          <w:szCs w:val="22"/>
        </w:rPr>
      </w:pPr>
    </w:p>
    <w:p w14:paraId="09035E6E" w14:textId="77777777" w:rsidR="00506D4A" w:rsidRPr="002F3741" w:rsidRDefault="00506D4A" w:rsidP="00506D4A">
      <w:pPr>
        <w:rPr>
          <w:rFonts w:ascii="Palatino Linotype" w:hAnsi="Palatino Linotype"/>
          <w:b/>
          <w:i/>
          <w:sz w:val="22"/>
          <w:szCs w:val="22"/>
          <w:u w:val="single"/>
        </w:rPr>
      </w:pPr>
      <w:r w:rsidRPr="002F3741">
        <w:rPr>
          <w:rFonts w:ascii="Palatino Linotype" w:hAnsi="Palatino Linotype"/>
          <w:b/>
          <w:i/>
          <w:sz w:val="22"/>
          <w:szCs w:val="22"/>
          <w:u w:val="single"/>
        </w:rPr>
        <w:t>Application Review</w:t>
      </w:r>
    </w:p>
    <w:p w14:paraId="614A60E6" w14:textId="14E69290" w:rsidR="00506D4A" w:rsidRPr="009909EF" w:rsidRDefault="00506D4A" w:rsidP="00506D4A">
      <w:pPr>
        <w:rPr>
          <w:rFonts w:ascii="Palatino Linotype" w:hAnsi="Palatino Linotype"/>
          <w:sz w:val="22"/>
          <w:szCs w:val="22"/>
        </w:rPr>
      </w:pPr>
      <w:r w:rsidRPr="002F3741">
        <w:rPr>
          <w:rFonts w:ascii="Palatino Linotype" w:hAnsi="Palatino Linotype"/>
          <w:sz w:val="22"/>
          <w:szCs w:val="22"/>
        </w:rPr>
        <w:t xml:space="preserve">Grants are </w:t>
      </w:r>
      <w:r w:rsidR="00F40E74">
        <w:rPr>
          <w:rFonts w:ascii="Palatino Linotype" w:hAnsi="Palatino Linotype"/>
          <w:sz w:val="22"/>
          <w:szCs w:val="22"/>
        </w:rPr>
        <w:t>awarded on a competitive basis.</w:t>
      </w:r>
      <w:r w:rsidRPr="002F3741">
        <w:rPr>
          <w:rFonts w:ascii="Palatino Linotype" w:hAnsi="Palatino Linotype"/>
          <w:sz w:val="22"/>
          <w:szCs w:val="22"/>
        </w:rPr>
        <w:t xml:space="preserve"> Applications will be screened for eligibility and completeness by</w:t>
      </w:r>
      <w:r w:rsidR="001C6EE2">
        <w:rPr>
          <w:rFonts w:ascii="Palatino Linotype" w:hAnsi="Palatino Linotype"/>
          <w:sz w:val="22"/>
          <w:szCs w:val="22"/>
        </w:rPr>
        <w:t xml:space="preserve"> the</w:t>
      </w:r>
      <w:r w:rsidRPr="002F3741">
        <w:rPr>
          <w:rFonts w:ascii="Palatino Linotype" w:hAnsi="Palatino Linotype"/>
          <w:sz w:val="22"/>
          <w:szCs w:val="22"/>
        </w:rPr>
        <w:t xml:space="preserve"> </w:t>
      </w:r>
      <w:r w:rsidR="001C6EE2">
        <w:rPr>
          <w:rFonts w:ascii="Palatino Linotype" w:hAnsi="Palatino Linotype"/>
          <w:sz w:val="22"/>
          <w:szCs w:val="22"/>
        </w:rPr>
        <w:t>IECF</w:t>
      </w:r>
      <w:r w:rsidR="00F40E74">
        <w:rPr>
          <w:rFonts w:ascii="Palatino Linotype" w:hAnsi="Palatino Linotype"/>
          <w:sz w:val="22"/>
          <w:szCs w:val="22"/>
        </w:rPr>
        <w:t xml:space="preserve"> staff.</w:t>
      </w:r>
      <w:r w:rsidRPr="002F3741">
        <w:rPr>
          <w:rFonts w:ascii="Palatino Linotype" w:hAnsi="Palatino Linotype"/>
          <w:sz w:val="22"/>
          <w:szCs w:val="22"/>
        </w:rPr>
        <w:t xml:space="preserve"> The </w:t>
      </w:r>
      <w:r w:rsidR="001C6EE2">
        <w:rPr>
          <w:rFonts w:ascii="Palatino Linotype" w:hAnsi="Palatino Linotype"/>
          <w:sz w:val="22"/>
          <w:szCs w:val="22"/>
        </w:rPr>
        <w:t>IECF</w:t>
      </w:r>
      <w:r w:rsidRPr="002F3741">
        <w:rPr>
          <w:rFonts w:ascii="Palatino Linotype" w:hAnsi="Palatino Linotype"/>
          <w:sz w:val="22"/>
          <w:szCs w:val="22"/>
        </w:rPr>
        <w:t xml:space="preserve"> Grant Committee will evaluate eligible applications and will forward grant recommendations to </w:t>
      </w:r>
      <w:r w:rsidR="001C6EE2">
        <w:rPr>
          <w:rFonts w:ascii="Palatino Linotype" w:hAnsi="Palatino Linotype"/>
          <w:sz w:val="22"/>
          <w:szCs w:val="22"/>
        </w:rPr>
        <w:t xml:space="preserve">the </w:t>
      </w:r>
      <w:r w:rsidRPr="002F3741">
        <w:rPr>
          <w:rFonts w:ascii="Palatino Linotype" w:hAnsi="Palatino Linotype"/>
          <w:sz w:val="22"/>
          <w:szCs w:val="22"/>
        </w:rPr>
        <w:t>Board of Directors for final app</w:t>
      </w:r>
      <w:r w:rsidR="006C0A63">
        <w:rPr>
          <w:rFonts w:ascii="Palatino Linotype" w:hAnsi="Palatino Linotype"/>
          <w:sz w:val="22"/>
          <w:szCs w:val="22"/>
        </w:rPr>
        <w:t>roval.</w:t>
      </w:r>
      <w:r w:rsidRPr="002F3741">
        <w:rPr>
          <w:rFonts w:ascii="Palatino Linotype" w:hAnsi="Palatino Linotype"/>
          <w:sz w:val="22"/>
          <w:szCs w:val="22"/>
        </w:rPr>
        <w:t xml:space="preserve"> </w:t>
      </w:r>
      <w:r w:rsidRPr="00E511D1">
        <w:rPr>
          <w:rFonts w:ascii="Palatino Linotype" w:hAnsi="Palatino Linotype"/>
          <w:b/>
          <w:color w:val="FF0000"/>
          <w:sz w:val="22"/>
          <w:szCs w:val="22"/>
        </w:rPr>
        <w:t xml:space="preserve">All applicants will be notified of the results </w:t>
      </w:r>
      <w:r w:rsidR="009909EF">
        <w:rPr>
          <w:rFonts w:ascii="Palatino Linotype" w:hAnsi="Palatino Linotype"/>
          <w:b/>
          <w:color w:val="FF0000"/>
          <w:sz w:val="22"/>
          <w:szCs w:val="22"/>
        </w:rPr>
        <w:t xml:space="preserve">in writing </w:t>
      </w:r>
      <w:r w:rsidR="007F1304">
        <w:rPr>
          <w:rFonts w:ascii="Palatino Linotype" w:hAnsi="Palatino Linotype"/>
          <w:b/>
          <w:color w:val="FF0000"/>
          <w:sz w:val="22"/>
          <w:szCs w:val="22"/>
        </w:rPr>
        <w:t xml:space="preserve">by </w:t>
      </w:r>
      <w:r w:rsidR="001C6EE2">
        <w:rPr>
          <w:rFonts w:ascii="Palatino Linotype" w:hAnsi="Palatino Linotype"/>
          <w:b/>
          <w:color w:val="FF0000"/>
          <w:sz w:val="22"/>
          <w:szCs w:val="22"/>
        </w:rPr>
        <w:t>July 31, 2025</w:t>
      </w:r>
      <w:r w:rsidRPr="00E511D1">
        <w:rPr>
          <w:rFonts w:ascii="Palatino Linotype" w:hAnsi="Palatino Linotype"/>
          <w:b/>
          <w:color w:val="FF0000"/>
          <w:sz w:val="22"/>
          <w:szCs w:val="22"/>
        </w:rPr>
        <w:t xml:space="preserve">.  </w:t>
      </w:r>
    </w:p>
    <w:p w14:paraId="7D744792" w14:textId="77777777" w:rsidR="00506D4A" w:rsidRPr="002F3741" w:rsidRDefault="00506D4A" w:rsidP="00506D4A">
      <w:pPr>
        <w:rPr>
          <w:rFonts w:ascii="Palatino Linotype" w:hAnsi="Palatino Linotype"/>
          <w:sz w:val="22"/>
          <w:szCs w:val="22"/>
        </w:rPr>
      </w:pPr>
    </w:p>
    <w:p w14:paraId="70EA9B15" w14:textId="77777777" w:rsidR="00EB3536" w:rsidRPr="002F3741" w:rsidRDefault="00EB3536" w:rsidP="00506D4A">
      <w:pPr>
        <w:tabs>
          <w:tab w:val="left" w:pos="180"/>
        </w:tabs>
        <w:outlineLvl w:val="0"/>
        <w:rPr>
          <w:rFonts w:ascii="Palatino Linotype" w:hAnsi="Palatino Linotype"/>
          <w:b/>
          <w:i/>
          <w:sz w:val="22"/>
          <w:szCs w:val="22"/>
          <w:u w:val="single"/>
        </w:rPr>
      </w:pPr>
    </w:p>
    <w:p w14:paraId="734C55F5" w14:textId="77777777" w:rsidR="00EB3536" w:rsidRPr="002F3741" w:rsidRDefault="00EB3536" w:rsidP="00506D4A">
      <w:pPr>
        <w:tabs>
          <w:tab w:val="left" w:pos="180"/>
        </w:tabs>
        <w:outlineLvl w:val="0"/>
        <w:rPr>
          <w:rFonts w:ascii="Palatino Linotype" w:hAnsi="Palatino Linotype"/>
          <w:b/>
          <w:i/>
          <w:sz w:val="22"/>
          <w:szCs w:val="22"/>
          <w:u w:val="single"/>
        </w:rPr>
      </w:pPr>
    </w:p>
    <w:sectPr w:rsidR="00EB3536" w:rsidRPr="002F3741" w:rsidSect="006975F6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5DDB7" w14:textId="77777777" w:rsidR="00772C1E" w:rsidRDefault="00772C1E">
      <w:r>
        <w:separator/>
      </w:r>
    </w:p>
  </w:endnote>
  <w:endnote w:type="continuationSeparator" w:id="0">
    <w:p w14:paraId="00EC88F6" w14:textId="77777777" w:rsidR="00772C1E" w:rsidRDefault="0077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85789" w14:textId="77777777" w:rsidR="00BF0C7C" w:rsidRDefault="00BF0C7C" w:rsidP="00D9107D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34575" w14:textId="77777777" w:rsidR="00772C1E" w:rsidRDefault="00772C1E">
      <w:r>
        <w:separator/>
      </w:r>
    </w:p>
  </w:footnote>
  <w:footnote w:type="continuationSeparator" w:id="0">
    <w:p w14:paraId="50295AB0" w14:textId="77777777" w:rsidR="00772C1E" w:rsidRDefault="00772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0412"/>
    <w:multiLevelType w:val="hybridMultilevel"/>
    <w:tmpl w:val="C73256F6"/>
    <w:lvl w:ilvl="0" w:tplc="039CCD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2462C"/>
    <w:multiLevelType w:val="hybridMultilevel"/>
    <w:tmpl w:val="ABF44BC8"/>
    <w:lvl w:ilvl="0" w:tplc="0A944E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057F"/>
    <w:multiLevelType w:val="hybridMultilevel"/>
    <w:tmpl w:val="F5F4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000CB"/>
    <w:multiLevelType w:val="hybridMultilevel"/>
    <w:tmpl w:val="50E619F2"/>
    <w:lvl w:ilvl="0" w:tplc="D53AB4F2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96C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40381E"/>
    <w:multiLevelType w:val="hybridMultilevel"/>
    <w:tmpl w:val="21D2F4EE"/>
    <w:lvl w:ilvl="0" w:tplc="039CCD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84932"/>
    <w:multiLevelType w:val="hybridMultilevel"/>
    <w:tmpl w:val="1FD6DEB4"/>
    <w:lvl w:ilvl="0" w:tplc="396AE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E8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461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0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5EA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160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D88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07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808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EB3256"/>
    <w:multiLevelType w:val="hybridMultilevel"/>
    <w:tmpl w:val="C78E241C"/>
    <w:lvl w:ilvl="0" w:tplc="039CCD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F0022"/>
    <w:multiLevelType w:val="hybridMultilevel"/>
    <w:tmpl w:val="59385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F3C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403DBF"/>
    <w:multiLevelType w:val="hybridMultilevel"/>
    <w:tmpl w:val="21D2F4EE"/>
    <w:lvl w:ilvl="0" w:tplc="039CCD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D4340"/>
    <w:multiLevelType w:val="hybridMultilevel"/>
    <w:tmpl w:val="7DCA4450"/>
    <w:lvl w:ilvl="0" w:tplc="039CCD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C6D5EE4"/>
    <w:multiLevelType w:val="hybridMultilevel"/>
    <w:tmpl w:val="429A8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C2E96"/>
    <w:multiLevelType w:val="hybridMultilevel"/>
    <w:tmpl w:val="E1004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64FC1"/>
    <w:multiLevelType w:val="hybridMultilevel"/>
    <w:tmpl w:val="D8C82ECE"/>
    <w:lvl w:ilvl="0" w:tplc="C63203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E4372"/>
    <w:multiLevelType w:val="hybridMultilevel"/>
    <w:tmpl w:val="5358E69A"/>
    <w:lvl w:ilvl="0" w:tplc="797AE4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C50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B0249D0"/>
    <w:multiLevelType w:val="hybridMultilevel"/>
    <w:tmpl w:val="FF5AC4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B05BC0"/>
    <w:multiLevelType w:val="hybridMultilevel"/>
    <w:tmpl w:val="7812D8EA"/>
    <w:lvl w:ilvl="0" w:tplc="039CCD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E3029D"/>
    <w:multiLevelType w:val="hybridMultilevel"/>
    <w:tmpl w:val="BE462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0C34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E561966"/>
    <w:multiLevelType w:val="hybridMultilevel"/>
    <w:tmpl w:val="082007B2"/>
    <w:lvl w:ilvl="0" w:tplc="C2C8FC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738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D74A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4"/>
  </w:num>
  <w:num w:numId="3">
    <w:abstractNumId w:val="20"/>
  </w:num>
  <w:num w:numId="4">
    <w:abstractNumId w:val="23"/>
  </w:num>
  <w:num w:numId="5">
    <w:abstractNumId w:val="9"/>
  </w:num>
  <w:num w:numId="6">
    <w:abstractNumId w:val="22"/>
  </w:num>
  <w:num w:numId="7">
    <w:abstractNumId w:val="15"/>
  </w:num>
  <w:num w:numId="8">
    <w:abstractNumId w:val="11"/>
  </w:num>
  <w:num w:numId="9">
    <w:abstractNumId w:val="10"/>
  </w:num>
  <w:num w:numId="10">
    <w:abstractNumId w:val="3"/>
  </w:num>
  <w:num w:numId="11">
    <w:abstractNumId w:val="21"/>
  </w:num>
  <w:num w:numId="12">
    <w:abstractNumId w:val="1"/>
  </w:num>
  <w:num w:numId="13">
    <w:abstractNumId w:val="14"/>
  </w:num>
  <w:num w:numId="14">
    <w:abstractNumId w:val="5"/>
  </w:num>
  <w:num w:numId="15">
    <w:abstractNumId w:val="0"/>
  </w:num>
  <w:num w:numId="16">
    <w:abstractNumId w:val="18"/>
  </w:num>
  <w:num w:numId="17">
    <w:abstractNumId w:val="17"/>
  </w:num>
  <w:num w:numId="18">
    <w:abstractNumId w:val="7"/>
  </w:num>
  <w:num w:numId="19">
    <w:abstractNumId w:val="8"/>
  </w:num>
  <w:num w:numId="20">
    <w:abstractNumId w:val="12"/>
  </w:num>
  <w:num w:numId="21">
    <w:abstractNumId w:val="6"/>
  </w:num>
  <w:num w:numId="22">
    <w:abstractNumId w:val="19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45"/>
    <w:rsid w:val="000234B2"/>
    <w:rsid w:val="00054866"/>
    <w:rsid w:val="00082F79"/>
    <w:rsid w:val="000869EE"/>
    <w:rsid w:val="000974B1"/>
    <w:rsid w:val="000A68E6"/>
    <w:rsid w:val="000C2630"/>
    <w:rsid w:val="000E6AC1"/>
    <w:rsid w:val="00105E1E"/>
    <w:rsid w:val="00145D32"/>
    <w:rsid w:val="0015583F"/>
    <w:rsid w:val="001A13AC"/>
    <w:rsid w:val="001B4514"/>
    <w:rsid w:val="001C49A0"/>
    <w:rsid w:val="001C6EE2"/>
    <w:rsid w:val="00267293"/>
    <w:rsid w:val="002B4B0B"/>
    <w:rsid w:val="002D2596"/>
    <w:rsid w:val="002F3741"/>
    <w:rsid w:val="003029B3"/>
    <w:rsid w:val="0032068F"/>
    <w:rsid w:val="00346A11"/>
    <w:rsid w:val="0034777A"/>
    <w:rsid w:val="00353FFA"/>
    <w:rsid w:val="00385855"/>
    <w:rsid w:val="00391726"/>
    <w:rsid w:val="003A62B5"/>
    <w:rsid w:val="004003B3"/>
    <w:rsid w:val="00433601"/>
    <w:rsid w:val="0044260D"/>
    <w:rsid w:val="00456589"/>
    <w:rsid w:val="00476445"/>
    <w:rsid w:val="004853E5"/>
    <w:rsid w:val="004A753B"/>
    <w:rsid w:val="004B1485"/>
    <w:rsid w:val="004B1CAA"/>
    <w:rsid w:val="004E1EA6"/>
    <w:rsid w:val="004E6619"/>
    <w:rsid w:val="00506D4A"/>
    <w:rsid w:val="00547640"/>
    <w:rsid w:val="00553ABC"/>
    <w:rsid w:val="00561EFB"/>
    <w:rsid w:val="005725B5"/>
    <w:rsid w:val="005B3158"/>
    <w:rsid w:val="0060517A"/>
    <w:rsid w:val="00632887"/>
    <w:rsid w:val="00636887"/>
    <w:rsid w:val="00647C9A"/>
    <w:rsid w:val="00664D17"/>
    <w:rsid w:val="00667538"/>
    <w:rsid w:val="00686F3B"/>
    <w:rsid w:val="006975F6"/>
    <w:rsid w:val="00697FD4"/>
    <w:rsid w:val="006C0A63"/>
    <w:rsid w:val="006E02D2"/>
    <w:rsid w:val="006E65E4"/>
    <w:rsid w:val="006E6987"/>
    <w:rsid w:val="006F361A"/>
    <w:rsid w:val="007141F0"/>
    <w:rsid w:val="00732DC5"/>
    <w:rsid w:val="00772C1E"/>
    <w:rsid w:val="00791290"/>
    <w:rsid w:val="007B6323"/>
    <w:rsid w:val="007F1304"/>
    <w:rsid w:val="007F3C10"/>
    <w:rsid w:val="008037A5"/>
    <w:rsid w:val="008061FA"/>
    <w:rsid w:val="00826ED9"/>
    <w:rsid w:val="00827DF0"/>
    <w:rsid w:val="008F7BA5"/>
    <w:rsid w:val="00903F5F"/>
    <w:rsid w:val="00921C5D"/>
    <w:rsid w:val="00930EE1"/>
    <w:rsid w:val="00933E8D"/>
    <w:rsid w:val="009523F5"/>
    <w:rsid w:val="00962F4D"/>
    <w:rsid w:val="00967317"/>
    <w:rsid w:val="009716E0"/>
    <w:rsid w:val="00972262"/>
    <w:rsid w:val="009752B7"/>
    <w:rsid w:val="00975F7A"/>
    <w:rsid w:val="009909EF"/>
    <w:rsid w:val="00992988"/>
    <w:rsid w:val="00994A69"/>
    <w:rsid w:val="009951E1"/>
    <w:rsid w:val="009A6336"/>
    <w:rsid w:val="009B106A"/>
    <w:rsid w:val="009B756E"/>
    <w:rsid w:val="009E6D70"/>
    <w:rsid w:val="00A04C55"/>
    <w:rsid w:val="00A177DC"/>
    <w:rsid w:val="00A457F2"/>
    <w:rsid w:val="00A47830"/>
    <w:rsid w:val="00A84421"/>
    <w:rsid w:val="00A90781"/>
    <w:rsid w:val="00A96BEF"/>
    <w:rsid w:val="00AB5E78"/>
    <w:rsid w:val="00AD4BC0"/>
    <w:rsid w:val="00B11D6A"/>
    <w:rsid w:val="00B15ED1"/>
    <w:rsid w:val="00B22615"/>
    <w:rsid w:val="00B42135"/>
    <w:rsid w:val="00B47A17"/>
    <w:rsid w:val="00B51329"/>
    <w:rsid w:val="00B52D9A"/>
    <w:rsid w:val="00B827D1"/>
    <w:rsid w:val="00B950FE"/>
    <w:rsid w:val="00BA7A99"/>
    <w:rsid w:val="00BD31D8"/>
    <w:rsid w:val="00BF0C7C"/>
    <w:rsid w:val="00C25832"/>
    <w:rsid w:val="00C46E97"/>
    <w:rsid w:val="00C5555C"/>
    <w:rsid w:val="00C64D07"/>
    <w:rsid w:val="00C86E76"/>
    <w:rsid w:val="00CA0E73"/>
    <w:rsid w:val="00CA5BE7"/>
    <w:rsid w:val="00CA74EA"/>
    <w:rsid w:val="00CB4188"/>
    <w:rsid w:val="00CD077D"/>
    <w:rsid w:val="00CE5415"/>
    <w:rsid w:val="00D40258"/>
    <w:rsid w:val="00D46B05"/>
    <w:rsid w:val="00D71A95"/>
    <w:rsid w:val="00D9084E"/>
    <w:rsid w:val="00D9107D"/>
    <w:rsid w:val="00E511D1"/>
    <w:rsid w:val="00E756C8"/>
    <w:rsid w:val="00E92FC0"/>
    <w:rsid w:val="00EB3536"/>
    <w:rsid w:val="00F35214"/>
    <w:rsid w:val="00F40E74"/>
    <w:rsid w:val="00FB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F4F5BF"/>
  <w15:chartTrackingRefBased/>
  <w15:docId w15:val="{EE1121C3-8862-4F39-895F-FD44EB05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1485"/>
  </w:style>
  <w:style w:type="paragraph" w:styleId="Heading1">
    <w:name w:val="heading 1"/>
    <w:basedOn w:val="Normal"/>
    <w:next w:val="Normal"/>
    <w:qFormat/>
    <w:rsid w:val="004B1485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4B1485"/>
    <w:pPr>
      <w:keepNext/>
      <w:outlineLvl w:val="1"/>
    </w:pPr>
    <w:rPr>
      <w:b/>
      <w:sz w:val="24"/>
    </w:rPr>
  </w:style>
  <w:style w:type="paragraph" w:styleId="Heading6">
    <w:name w:val="heading 6"/>
    <w:basedOn w:val="Normal"/>
    <w:next w:val="Normal"/>
    <w:qFormat/>
    <w:rsid w:val="00506D4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B1485"/>
    <w:pPr>
      <w:ind w:left="720"/>
    </w:pPr>
    <w:rPr>
      <w:sz w:val="24"/>
    </w:rPr>
  </w:style>
  <w:style w:type="paragraph" w:styleId="Header">
    <w:name w:val="header"/>
    <w:basedOn w:val="Normal"/>
    <w:rsid w:val="004B1485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BodyText">
    <w:name w:val="Body Text"/>
    <w:basedOn w:val="Normal"/>
    <w:rsid w:val="004B1485"/>
    <w:rPr>
      <w:sz w:val="24"/>
    </w:rPr>
  </w:style>
  <w:style w:type="paragraph" w:styleId="Title">
    <w:name w:val="Title"/>
    <w:basedOn w:val="Normal"/>
    <w:qFormat/>
    <w:rsid w:val="004B1485"/>
    <w:pPr>
      <w:jc w:val="center"/>
    </w:pPr>
    <w:rPr>
      <w:b/>
      <w:sz w:val="32"/>
    </w:rPr>
  </w:style>
  <w:style w:type="paragraph" w:styleId="BodyText2">
    <w:name w:val="Body Text 2"/>
    <w:basedOn w:val="Normal"/>
    <w:rsid w:val="004B1485"/>
    <w:pPr>
      <w:jc w:val="center"/>
    </w:pPr>
  </w:style>
  <w:style w:type="table" w:styleId="TableGrid">
    <w:name w:val="Table Grid"/>
    <w:basedOn w:val="TableNormal"/>
    <w:rsid w:val="00D91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9107D"/>
    <w:pPr>
      <w:tabs>
        <w:tab w:val="center" w:pos="4320"/>
        <w:tab w:val="right" w:pos="8640"/>
      </w:tabs>
    </w:pPr>
  </w:style>
  <w:style w:type="character" w:styleId="Hyperlink">
    <w:name w:val="Hyperlink"/>
    <w:rsid w:val="00506D4A"/>
    <w:rPr>
      <w:color w:val="0000FF"/>
      <w:u w:val="single"/>
    </w:rPr>
  </w:style>
  <w:style w:type="paragraph" w:styleId="DocumentMap">
    <w:name w:val="Document Map"/>
    <w:basedOn w:val="Normal"/>
    <w:semiHidden/>
    <w:rsid w:val="009B756E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2004 Grant Guidelines</vt:lpstr>
    </vt:vector>
  </TitlesOfParts>
  <Company>The Comunnity Foundation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Grant Guidelines</dc:title>
  <dc:subject/>
  <dc:creator>The Comunnity Foundation</dc:creator>
  <cp:keywords/>
  <cp:lastModifiedBy>Celia Cudiamat</cp:lastModifiedBy>
  <cp:revision>2</cp:revision>
  <cp:lastPrinted>2018-06-20T16:37:00Z</cp:lastPrinted>
  <dcterms:created xsi:type="dcterms:W3CDTF">2025-04-01T21:36:00Z</dcterms:created>
  <dcterms:modified xsi:type="dcterms:W3CDTF">2025-04-01T21:36:00Z</dcterms:modified>
</cp:coreProperties>
</file>